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000000"/>
          <w:spacing w:val="0"/>
        </w:rPr>
      </w:pPr>
      <w:bookmarkStart w:id="0" w:name="_GoBack"/>
      <w:r>
        <w:rPr>
          <w:rFonts w:hint="eastAsia" w:ascii="微软雅黑" w:hAnsi="微软雅黑" w:eastAsia="微软雅黑" w:cs="微软雅黑"/>
          <w:b/>
          <w:bCs/>
          <w:i w:val="0"/>
          <w:iCs w:val="0"/>
          <w:caps w:val="0"/>
          <w:color w:val="000000"/>
          <w:spacing w:val="0"/>
          <w:bdr w:val="none" w:color="auto" w:sz="0" w:space="0"/>
          <w:shd w:val="clear" w:fill="FFFFFF"/>
        </w:rPr>
        <w:t>淄博市自然资源和规划局2020年政府信息公开工作年度报告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0"/>
      </w:pPr>
      <w:r>
        <w:rPr>
          <w:rFonts w:ascii="仿宋_GB2312" w:hAnsi="微软雅黑" w:eastAsia="仿宋_GB2312" w:cs="仿宋_GB2312"/>
          <w:i w:val="0"/>
          <w:iCs w:val="0"/>
          <w:caps w:val="0"/>
          <w:color w:val="000000"/>
          <w:spacing w:val="0"/>
          <w:sz w:val="32"/>
          <w:szCs w:val="32"/>
          <w:bdr w:val="none" w:color="auto" w:sz="0" w:space="0"/>
          <w:shd w:val="clear" w:fill="FFFFFF"/>
          <w:lang w:eastAsia="zh-CN"/>
        </w:rPr>
        <w:t>淄博市自然资源和规划局汇总淄博市</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2020</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年政府信息公开工作年度报告，编制本报告。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pPr>
      <w:r>
        <w:rPr>
          <w:rFonts w:ascii="黑体" w:hAnsi="宋体" w:eastAsia="黑体" w:cs="黑体"/>
          <w:i w:val="0"/>
          <w:iCs w:val="0"/>
          <w:caps w:val="0"/>
          <w:color w:val="000000"/>
          <w:spacing w:val="0"/>
          <w:sz w:val="32"/>
          <w:szCs w:val="32"/>
          <w:bdr w:val="none" w:color="auto" w:sz="0" w:space="0"/>
          <w:shd w:val="clear" w:fill="FFFFFF"/>
          <w:lang w:val="en-US"/>
        </w:rPr>
        <w:t>一、</w:t>
      </w:r>
      <w:r>
        <w:rPr>
          <w:rFonts w:hint="eastAsia" w:ascii="黑体" w:hAnsi="宋体" w:eastAsia="黑体" w:cs="黑体"/>
          <w:i w:val="0"/>
          <w:iCs w:val="0"/>
          <w:caps w:val="0"/>
          <w:color w:val="000000"/>
          <w:spacing w:val="0"/>
          <w:sz w:val="32"/>
          <w:szCs w:val="32"/>
          <w:bdr w:val="none" w:color="auto" w:sz="0" w:space="0"/>
          <w:shd w:val="clear" w:fill="FFFFFF"/>
          <w:lang w:eastAsia="zh-CN"/>
        </w:rPr>
        <w:t>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今年以来，淄博市自然资源和规划局在市政府的指导下，以习近平新时代中国特色社会主义思想为指导，按照《中华人民共和国政府信息公开条例》、《山东省人民政府办公厅关于印发</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2020</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年山东省政务公开工作要点的通知》（鲁政办字〔</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2020</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78</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号）、《淄博市人民政府办公室关于印发淄博市</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2020</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年政务公开工作要点的通知》（淄政办字〔</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2020</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67</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号）全面完成国家、省政务公开年度工作要点部署的各项任务，补短板，强基础，着力强化公开、解读、发布、互动全流程联动，全面提升政务公开质量和实效，提升群众幸福感和满意度。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pP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（一）</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主动公开方面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深入推进政府信息主动公开。根据我局机构改革情况，及时更新公布机关职能、机构设置、联系方式和相关负责人等信息。紧密围绕自然资源市场交易、土地征收、城乡规划、林业工作、地质灾害防治等重点工作部署，及时根据工作开展情况公开信息，及时高效做好政务信息发布工作。</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2020</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年，我局通过微博原创、转发信息</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448</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条。通过网站发布信息</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2087</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条，通过微信发布信息</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753</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条。共承办代表建议和政协提案</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40</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件，其中市人大代表建议</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16</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件、市政协委员提案</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24</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件。</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2020</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年承办的</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40</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件建议提案采取集中进行面对面答复，建议提案办结率、面复率和办理满意率均为</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100</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办理结果均在法定主动公开目录“建议提案办理”中公示。完善淄博市自然资源和规划局政府信息公开目录，及时公开财政预决算、人事信息、工作动态、重要决策部署、政策文件等内容，每年定期发布政府信息公开年报和网站工作报表。同时，结合工作实际，围绕地质灾害防治、保护耕地、森林防火知识普及推进信息公开，运用广电媒体、电视新闻、报纸、网络新媒体等宣传平台做好多维度宣传工作，进一步推动提高公众风险防范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drawing>
          <wp:inline distT="0" distB="0" distL="114300" distR="114300">
            <wp:extent cx="4474845" cy="270764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474845" cy="27076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pP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（二）</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依申请公开方面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2020</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年新收政府信息公开申请</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91</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件，已办理</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87</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件，结转下年度继续办理</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4</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件。其中，自然人申请的信息公开数量为</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88</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件，法人或其他组织申请公开数量为</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3</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件。上述信息公开申请的内容主要涉及土地征收及补偿文件、用地规划信息、不动产登记信息等方面，均已在法定期限内答复申请人。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drawing>
          <wp:inline distT="0" distB="0" distL="114300" distR="114300">
            <wp:extent cx="4611370" cy="4231005"/>
            <wp:effectExtent l="0" t="0" r="17780" b="1714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611370" cy="42310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pP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（三）</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政府信息管理方面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继续落实《淄博市人民政府办公室关于印发淄博市</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2020</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年政务公开工作要点的通知》，将公文公开属性源头认定和发布审查嵌入发文流程。</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2020</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年，经政务公开工作机构审核的市政府公文</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376</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件，主动公开</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41</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件，发布政策解读</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5</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条。加强组织和指导，推进政务公开标准化目录编制工作。</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2020</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年中，开展政务公开事项梳理和公开标准目录编制工作，到</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12</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月初，已完成政务公开标准目录编制发布工作。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pP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（四）</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平台建设方面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加强本单位网站组织机构、工作动态、通知公告、统计数据、统计法治等栏目的审核发布，做好日常巡查和重要节假日网站技术值守管理，严防安全、泄密、无效链接等问题。按要求做好各类栏目信息发布频率管理工作，确保网站信息发布内容准确、格式规范。根据工作要求，于</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12</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月底完成政府网站改造升级，在本单位网站完成信息公开栏目数据迁移更新，做好网站后台数据与市政府信息资源库的绑定推送，强化数据、服务、应用融通。推进“淄博市自然资源和规划局”微信、微博平台建设，突出权威发布，优化统计服务，积极应对突发事件和政务舆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pP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（五）</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监督保障方面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围绕政务公开工作重点，做好信息公开指南、信息公开目录、信息公开制度、法定主动公开内容、依申请公开、行政处罚公开等内容的审核更新，做好各相关栏目信息公开发布频率自查，按照工作要求，做好分类对照，做到按时、规范公开。落实专人负责，积极主动做好政务公开相关工作的对接和任务落实，逐条对照正文公开工作要点，确保政务公开工作顺利推进。为进一步深化政务公开，及时修订《淄博市自然资源和规划局</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2020</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年政务公开工作实施方案》，推动政务公开各项工作落到实处。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pPr>
      <w:r>
        <w:rPr>
          <w:rFonts w:hint="eastAsia" w:ascii="黑体" w:hAnsi="宋体" w:eastAsia="黑体" w:cs="黑体"/>
          <w:i w:val="0"/>
          <w:iCs w:val="0"/>
          <w:caps w:val="0"/>
          <w:color w:val="000000"/>
          <w:spacing w:val="0"/>
          <w:sz w:val="32"/>
          <w:szCs w:val="32"/>
          <w:bdr w:val="none" w:color="auto" w:sz="0" w:space="0"/>
          <w:shd w:val="clear" w:fill="FFFFFF"/>
          <w:lang w:val="en-US"/>
        </w:rPr>
        <w:t>二、</w:t>
      </w:r>
      <w:r>
        <w:rPr>
          <w:rFonts w:hint="eastAsia" w:ascii="黑体" w:hAnsi="宋体" w:eastAsia="黑体" w:cs="黑体"/>
          <w:i w:val="0"/>
          <w:iCs w:val="0"/>
          <w:caps w:val="0"/>
          <w:color w:val="000000"/>
          <w:spacing w:val="0"/>
          <w:sz w:val="32"/>
          <w:szCs w:val="32"/>
          <w:bdr w:val="none" w:color="auto" w:sz="0" w:space="0"/>
          <w:shd w:val="clear" w:fill="FFFFFF"/>
          <w:lang w:eastAsia="zh-CN"/>
        </w:rPr>
        <w:t>主动公开政府信息情况</w:t>
      </w:r>
    </w:p>
    <w:tbl>
      <w:tblPr>
        <w:tblpPr w:vertAnchor="text" w:tblpXSpec="left"/>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724"/>
        <w:gridCol w:w="1842"/>
        <w:gridCol w:w="1883"/>
        <w:gridCol w:w="20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7" w:hRule="atLeast"/>
        </w:trPr>
        <w:tc>
          <w:tcPr>
            <w:tcW w:w="5000" w:type="pct"/>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trPr>
        <w:tc>
          <w:tcPr>
            <w:tcW w:w="15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信息内容</w:t>
            </w:r>
          </w:p>
        </w:tc>
        <w:tc>
          <w:tcPr>
            <w:tcW w:w="1081"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本年新制作数量</w:t>
            </w:r>
          </w:p>
        </w:tc>
        <w:tc>
          <w:tcPr>
            <w:tcW w:w="1105"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本年新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公开数量</w:t>
            </w:r>
          </w:p>
        </w:tc>
        <w:tc>
          <w:tcPr>
            <w:tcW w:w="1213"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对外公开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总数量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3" w:hRule="atLeast"/>
        </w:trPr>
        <w:tc>
          <w:tcPr>
            <w:tcW w:w="15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24"/>
                <w:szCs w:val="24"/>
                <w:bdr w:val="none" w:color="auto" w:sz="0" w:space="0"/>
              </w:rPr>
              <w:t>规章</w:t>
            </w:r>
          </w:p>
        </w:tc>
        <w:tc>
          <w:tcPr>
            <w:tcW w:w="1081"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4"/>
                <w:szCs w:val="24"/>
                <w:bdr w:val="none" w:color="auto" w:sz="0" w:space="0"/>
                <w:lang w:val="en-US"/>
              </w:rPr>
              <w:t>0</w:t>
            </w:r>
          </w:p>
        </w:tc>
        <w:tc>
          <w:tcPr>
            <w:tcW w:w="1105"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4"/>
                <w:szCs w:val="24"/>
                <w:bdr w:val="none" w:color="auto" w:sz="0" w:space="0"/>
                <w:lang w:val="en-US"/>
              </w:rPr>
              <w:t>0</w:t>
            </w:r>
          </w:p>
        </w:tc>
        <w:tc>
          <w:tcPr>
            <w:tcW w:w="1213"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8" w:hRule="atLeast"/>
        </w:trPr>
        <w:tc>
          <w:tcPr>
            <w:tcW w:w="15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24"/>
                <w:szCs w:val="24"/>
                <w:bdr w:val="none" w:color="auto" w:sz="0" w:space="0"/>
              </w:rPr>
              <w:t>规范性文件</w:t>
            </w:r>
          </w:p>
        </w:tc>
        <w:tc>
          <w:tcPr>
            <w:tcW w:w="1081"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4"/>
                <w:szCs w:val="24"/>
                <w:bdr w:val="none" w:color="auto" w:sz="0" w:space="0"/>
                <w:lang w:val="en-US"/>
              </w:rPr>
              <w:t>4</w:t>
            </w:r>
          </w:p>
        </w:tc>
        <w:tc>
          <w:tcPr>
            <w:tcW w:w="1105"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4"/>
                <w:szCs w:val="24"/>
                <w:bdr w:val="none" w:color="auto" w:sz="0" w:space="0"/>
                <w:lang w:val="en-US"/>
              </w:rPr>
              <w:t>4</w:t>
            </w:r>
          </w:p>
        </w:tc>
        <w:tc>
          <w:tcPr>
            <w:tcW w:w="1213"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4"/>
                <w:szCs w:val="24"/>
                <w:bdr w:val="none" w:color="auto" w:sz="0" w:space="0"/>
                <w:lang w:val="en-US"/>
              </w:rPr>
              <w:t>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atLeast"/>
        </w:trPr>
        <w:tc>
          <w:tcPr>
            <w:tcW w:w="5000" w:type="pct"/>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8" w:hRule="atLeast"/>
        </w:trPr>
        <w:tc>
          <w:tcPr>
            <w:tcW w:w="15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信息内容</w:t>
            </w:r>
          </w:p>
        </w:tc>
        <w:tc>
          <w:tcPr>
            <w:tcW w:w="1081"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24"/>
                <w:szCs w:val="24"/>
                <w:bdr w:val="none" w:color="auto" w:sz="0" w:space="0"/>
              </w:rPr>
              <w:t>上一年项目数量</w:t>
            </w:r>
          </w:p>
        </w:tc>
        <w:tc>
          <w:tcPr>
            <w:tcW w:w="1105"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本年增</w:t>
            </w:r>
            <w:r>
              <w:rPr>
                <w:color w:val="000000"/>
                <w:sz w:val="24"/>
                <w:szCs w:val="24"/>
                <w:bdr w:val="none" w:color="auto" w:sz="0" w:space="0"/>
                <w:lang w:val="en-US"/>
              </w:rPr>
              <w:t>/</w:t>
            </w:r>
            <w:r>
              <w:rPr>
                <w:rFonts w:hint="eastAsia" w:ascii="宋体" w:hAnsi="宋体" w:eastAsia="宋体" w:cs="宋体"/>
                <w:color w:val="000000"/>
                <w:sz w:val="24"/>
                <w:szCs w:val="24"/>
                <w:bdr w:val="none" w:color="auto" w:sz="0" w:space="0"/>
              </w:rPr>
              <w:t>减</w:t>
            </w:r>
          </w:p>
        </w:tc>
        <w:tc>
          <w:tcPr>
            <w:tcW w:w="1213"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9" w:hRule="atLeast"/>
        </w:trPr>
        <w:tc>
          <w:tcPr>
            <w:tcW w:w="15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24"/>
                <w:szCs w:val="24"/>
                <w:bdr w:val="none" w:color="auto" w:sz="0" w:space="0"/>
              </w:rPr>
              <w:t>行政许可</w:t>
            </w:r>
          </w:p>
        </w:tc>
        <w:tc>
          <w:tcPr>
            <w:tcW w:w="1081"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lang w:val="en-US"/>
              </w:rPr>
              <w:t>29</w:t>
            </w:r>
          </w:p>
        </w:tc>
        <w:tc>
          <w:tcPr>
            <w:tcW w:w="1105"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lang w:val="en-US"/>
              </w:rPr>
              <w:t>-2</w:t>
            </w:r>
          </w:p>
        </w:tc>
        <w:tc>
          <w:tcPr>
            <w:tcW w:w="1213"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lang w:val="en-US"/>
              </w:rPr>
              <w:t>343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1" w:hRule="atLeast"/>
        </w:trPr>
        <w:tc>
          <w:tcPr>
            <w:tcW w:w="15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24"/>
                <w:szCs w:val="24"/>
                <w:bdr w:val="none" w:color="auto" w:sz="0" w:space="0"/>
              </w:rPr>
              <w:t>其他对外管理服务事项</w:t>
            </w:r>
          </w:p>
        </w:tc>
        <w:tc>
          <w:tcPr>
            <w:tcW w:w="1081"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lang w:val="en-US"/>
              </w:rPr>
              <w:t>92</w:t>
            </w:r>
          </w:p>
        </w:tc>
        <w:tc>
          <w:tcPr>
            <w:tcW w:w="1105"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lang w:val="en-US"/>
              </w:rPr>
              <w:t>+2</w:t>
            </w:r>
          </w:p>
        </w:tc>
        <w:tc>
          <w:tcPr>
            <w:tcW w:w="1213"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lang w:val="en-US"/>
              </w:rPr>
              <w:t>1433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1" w:hRule="atLeast"/>
        </w:trPr>
        <w:tc>
          <w:tcPr>
            <w:tcW w:w="5000" w:type="pct"/>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5" w:hRule="atLeast"/>
        </w:trPr>
        <w:tc>
          <w:tcPr>
            <w:tcW w:w="15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信息内容</w:t>
            </w:r>
          </w:p>
        </w:tc>
        <w:tc>
          <w:tcPr>
            <w:tcW w:w="1081"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24"/>
                <w:szCs w:val="24"/>
                <w:bdr w:val="none" w:color="auto" w:sz="0" w:space="0"/>
              </w:rPr>
              <w:t>上一年项目数量</w:t>
            </w:r>
          </w:p>
        </w:tc>
        <w:tc>
          <w:tcPr>
            <w:tcW w:w="1105"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本年增</w:t>
            </w:r>
            <w:r>
              <w:rPr>
                <w:color w:val="000000"/>
                <w:sz w:val="24"/>
                <w:szCs w:val="24"/>
                <w:bdr w:val="none" w:color="auto" w:sz="0" w:space="0"/>
                <w:lang w:val="en-US"/>
              </w:rPr>
              <w:t>/</w:t>
            </w:r>
            <w:r>
              <w:rPr>
                <w:rFonts w:hint="eastAsia" w:ascii="宋体" w:hAnsi="宋体" w:eastAsia="宋体" w:cs="宋体"/>
                <w:color w:val="000000"/>
                <w:sz w:val="24"/>
                <w:szCs w:val="24"/>
                <w:bdr w:val="none" w:color="auto" w:sz="0" w:space="0"/>
              </w:rPr>
              <w:t>减</w:t>
            </w:r>
          </w:p>
        </w:tc>
        <w:tc>
          <w:tcPr>
            <w:tcW w:w="1213"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3" w:hRule="atLeast"/>
        </w:trPr>
        <w:tc>
          <w:tcPr>
            <w:tcW w:w="15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24"/>
                <w:szCs w:val="24"/>
                <w:bdr w:val="none" w:color="auto" w:sz="0" w:space="0"/>
              </w:rPr>
              <w:t>行政处罚</w:t>
            </w:r>
          </w:p>
        </w:tc>
        <w:tc>
          <w:tcPr>
            <w:tcW w:w="1081"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lang w:val="en-US"/>
              </w:rPr>
              <w:t>225</w:t>
            </w:r>
          </w:p>
        </w:tc>
        <w:tc>
          <w:tcPr>
            <w:tcW w:w="1105"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lang w:val="en-US"/>
              </w:rPr>
              <w:t>0</w:t>
            </w:r>
          </w:p>
        </w:tc>
        <w:tc>
          <w:tcPr>
            <w:tcW w:w="1213"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4"/>
                <w:szCs w:val="24"/>
                <w:bdr w:val="none" w:color="auto" w:sz="0" w:space="0"/>
                <w:lang w:val="en-US"/>
              </w:rPr>
              <w:t>365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3" w:hRule="atLeast"/>
        </w:trPr>
        <w:tc>
          <w:tcPr>
            <w:tcW w:w="15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24"/>
                <w:szCs w:val="24"/>
                <w:bdr w:val="none" w:color="auto" w:sz="0" w:space="0"/>
              </w:rPr>
              <w:t>行政强制</w:t>
            </w:r>
          </w:p>
        </w:tc>
        <w:tc>
          <w:tcPr>
            <w:tcW w:w="1081"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lang w:val="en-US"/>
              </w:rPr>
              <w:t>5</w:t>
            </w:r>
          </w:p>
        </w:tc>
        <w:tc>
          <w:tcPr>
            <w:tcW w:w="1105"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lang w:val="en-US"/>
              </w:rPr>
              <w:t>-1</w:t>
            </w:r>
          </w:p>
        </w:tc>
        <w:tc>
          <w:tcPr>
            <w:tcW w:w="1213"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4"/>
                <w:szCs w:val="24"/>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trPr>
        <w:tc>
          <w:tcPr>
            <w:tcW w:w="5000" w:type="pct"/>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1" w:hRule="atLeast"/>
        </w:trPr>
        <w:tc>
          <w:tcPr>
            <w:tcW w:w="15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信息内容</w:t>
            </w:r>
          </w:p>
        </w:tc>
        <w:tc>
          <w:tcPr>
            <w:tcW w:w="1081"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24"/>
                <w:szCs w:val="24"/>
                <w:bdr w:val="none" w:color="auto" w:sz="0" w:space="0"/>
              </w:rPr>
              <w:t>上一年项目数量</w:t>
            </w:r>
          </w:p>
        </w:tc>
        <w:tc>
          <w:tcPr>
            <w:tcW w:w="2319" w:type="pct"/>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本年增</w:t>
            </w:r>
            <w:r>
              <w:rPr>
                <w:color w:val="000000"/>
                <w:sz w:val="24"/>
                <w:szCs w:val="24"/>
                <w:bdr w:val="none" w:color="auto" w:sz="0" w:space="0"/>
                <w:lang w:val="en-US"/>
              </w:rPr>
              <w:t>/</w:t>
            </w:r>
            <w:r>
              <w:rPr>
                <w:rFonts w:hint="eastAsia" w:ascii="宋体" w:hAnsi="宋体" w:eastAsia="宋体" w:cs="宋体"/>
                <w:color w:val="000000"/>
                <w:sz w:val="24"/>
                <w:szCs w:val="24"/>
                <w:bdr w:val="none" w:color="auto" w:sz="0" w:space="0"/>
              </w:rPr>
              <w:t>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1" w:hRule="atLeast"/>
        </w:trPr>
        <w:tc>
          <w:tcPr>
            <w:tcW w:w="15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24"/>
                <w:szCs w:val="24"/>
                <w:bdr w:val="none" w:color="auto" w:sz="0" w:space="0"/>
              </w:rPr>
              <w:t>行政事业性收费</w:t>
            </w:r>
          </w:p>
        </w:tc>
        <w:tc>
          <w:tcPr>
            <w:tcW w:w="1081"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4"/>
                <w:szCs w:val="24"/>
                <w:bdr w:val="none" w:color="auto" w:sz="0" w:space="0"/>
                <w:lang w:val="en-US"/>
              </w:rPr>
              <w:t>7</w:t>
            </w:r>
          </w:p>
        </w:tc>
        <w:tc>
          <w:tcPr>
            <w:tcW w:w="2319" w:type="pct"/>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4"/>
                <w:szCs w:val="24"/>
                <w:bdr w:val="none" w:color="auto" w:sz="0" w:space="0"/>
                <w:lang w:val="en-US"/>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1" w:hRule="atLeast"/>
        </w:trPr>
        <w:tc>
          <w:tcPr>
            <w:tcW w:w="5000" w:type="pct"/>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第二十条第（九）项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1" w:hRule="atLeast"/>
        </w:trPr>
        <w:tc>
          <w:tcPr>
            <w:tcW w:w="15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信息内容</w:t>
            </w:r>
          </w:p>
        </w:tc>
        <w:tc>
          <w:tcPr>
            <w:tcW w:w="1081"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采购项目数量</w:t>
            </w:r>
          </w:p>
        </w:tc>
        <w:tc>
          <w:tcPr>
            <w:tcW w:w="2319" w:type="pct"/>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采购总金额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2" w:hRule="atLeast"/>
        </w:trPr>
        <w:tc>
          <w:tcPr>
            <w:tcW w:w="15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24"/>
                <w:szCs w:val="24"/>
                <w:bdr w:val="none" w:color="auto" w:sz="0" w:space="0"/>
              </w:rPr>
              <w:t>政府集中采购</w:t>
            </w:r>
          </w:p>
        </w:tc>
        <w:tc>
          <w:tcPr>
            <w:tcW w:w="1081"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4"/>
                <w:szCs w:val="24"/>
                <w:bdr w:val="none" w:color="auto" w:sz="0" w:space="0"/>
                <w:lang w:val="en-US"/>
              </w:rPr>
              <w:t>73</w:t>
            </w:r>
          </w:p>
        </w:tc>
        <w:tc>
          <w:tcPr>
            <w:tcW w:w="2319" w:type="pct"/>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4"/>
                <w:szCs w:val="24"/>
                <w:bdr w:val="none" w:color="auto" w:sz="0" w:space="0"/>
                <w:lang w:val="en-US"/>
              </w:rPr>
              <w:t>14813.44</w:t>
            </w:r>
            <w:r>
              <w:rPr>
                <w:rFonts w:hint="eastAsia" w:ascii="宋体" w:hAnsi="宋体" w:eastAsia="宋体" w:cs="宋体"/>
                <w:color w:val="000000"/>
                <w:sz w:val="24"/>
                <w:szCs w:val="24"/>
                <w:bdr w:val="none" w:color="auto" w:sz="0" w:space="0"/>
              </w:rPr>
              <w:t>万元</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pPr>
      <w:r>
        <w:rPr>
          <w:rFonts w:hint="eastAsia" w:ascii="黑体" w:hAnsi="宋体" w:eastAsia="黑体" w:cs="黑体"/>
          <w:i w:val="0"/>
          <w:iCs w:val="0"/>
          <w:caps w:val="0"/>
          <w:color w:val="000000"/>
          <w:spacing w:val="0"/>
          <w:sz w:val="32"/>
          <w:szCs w:val="32"/>
          <w:bdr w:val="none" w:color="auto" w:sz="0" w:space="0"/>
          <w:shd w:val="clear" w:fill="FFFFFF"/>
          <w:lang w:val="en-US"/>
        </w:rPr>
        <w:t>三、</w:t>
      </w:r>
      <w:r>
        <w:rPr>
          <w:rFonts w:hint="eastAsia" w:ascii="黑体" w:hAnsi="宋体" w:eastAsia="黑体" w:cs="黑体"/>
          <w:i w:val="0"/>
          <w:iCs w:val="0"/>
          <w:caps w:val="0"/>
          <w:color w:val="000000"/>
          <w:spacing w:val="0"/>
          <w:sz w:val="32"/>
          <w:szCs w:val="32"/>
          <w:bdr w:val="none" w:color="auto" w:sz="0" w:space="0"/>
          <w:shd w:val="clear" w:fill="FFFFFF"/>
          <w:lang w:eastAsia="zh-CN"/>
        </w:rPr>
        <w:t>收到和处理政府信息公开申请情况</w:t>
      </w:r>
    </w:p>
    <w:tbl>
      <w:tblPr>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96"/>
        <w:gridCol w:w="1326"/>
        <w:gridCol w:w="2299"/>
        <w:gridCol w:w="502"/>
        <w:gridCol w:w="628"/>
        <w:gridCol w:w="614"/>
        <w:gridCol w:w="614"/>
        <w:gridCol w:w="642"/>
        <w:gridCol w:w="607"/>
        <w:gridCol w:w="5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65" w:hRule="atLeast"/>
          <w:jc w:val="center"/>
        </w:trPr>
        <w:tc>
          <w:tcPr>
            <w:tcW w:w="2510" w:type="pct"/>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bdr w:val="none" w:color="auto" w:sz="0" w:space="0"/>
              </w:rPr>
              <w:t>（本列数据的勾稽关系为：第一项加第二项之和，等于第三项加第四项之和）</w:t>
            </w:r>
          </w:p>
        </w:tc>
        <w:tc>
          <w:tcPr>
            <w:tcW w:w="2489" w:type="pct"/>
            <w:gridSpan w:val="7"/>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8" w:hRule="atLeast"/>
          <w:jc w:val="center"/>
        </w:trPr>
        <w:tc>
          <w:tcPr>
            <w:tcW w:w="2510" w:type="pct"/>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9"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自然人</w:t>
            </w:r>
          </w:p>
        </w:tc>
        <w:tc>
          <w:tcPr>
            <w:tcW w:w="1840" w:type="pct"/>
            <w:gridSpan w:val="5"/>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法人或其他组织</w:t>
            </w:r>
          </w:p>
        </w:tc>
        <w:tc>
          <w:tcPr>
            <w:tcW w:w="349"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41" w:hRule="atLeast"/>
          <w:jc w:val="center"/>
        </w:trPr>
        <w:tc>
          <w:tcPr>
            <w:tcW w:w="2510" w:type="pct"/>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9"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bdr w:val="none" w:color="auto" w:sz="0" w:space="0"/>
              </w:rPr>
              <w:t>商业企业</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bdr w:val="none" w:color="auto" w:sz="0" w:space="0"/>
              </w:rPr>
              <w:t>科研机构</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bdr w:val="none" w:color="auto" w:sz="0" w:space="0"/>
              </w:rPr>
              <w:t>社会公益组织</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bdr w:val="none" w:color="auto" w:sz="0" w:space="0"/>
              </w:rPr>
              <w:t>法律服务机构</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bdr w:val="none" w:color="auto" w:sz="0" w:space="0"/>
              </w:rPr>
              <w:t>其他</w:t>
            </w:r>
          </w:p>
        </w:tc>
        <w:tc>
          <w:tcPr>
            <w:tcW w:w="349"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66" w:hRule="atLeast"/>
          <w:jc w:val="center"/>
        </w:trPr>
        <w:tc>
          <w:tcPr>
            <w:tcW w:w="2510" w:type="pct"/>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bdr w:val="none" w:color="auto" w:sz="0" w:space="0"/>
              </w:rPr>
              <w:t>一、本年新收政府信息公开申请数量</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88</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2</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1</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2510" w:type="pct"/>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bdr w:val="none" w:color="auto" w:sz="0" w:space="0"/>
              </w:rPr>
              <w:t>二、上年结转政府信息公开申请数量</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6" w:hRule="atLeast"/>
          <w:jc w:val="center"/>
        </w:trPr>
        <w:tc>
          <w:tcPr>
            <w:tcW w:w="375"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bdr w:val="none" w:color="auto" w:sz="0" w:space="0"/>
              </w:rPr>
              <w:t>三、本年度办理结果</w:t>
            </w:r>
          </w:p>
        </w:tc>
        <w:tc>
          <w:tcPr>
            <w:tcW w:w="2135" w:type="pct"/>
            <w:gridSpan w:val="2"/>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rPr>
              <w:t>（一）予以公开</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49</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1</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1</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1"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135" w:type="pct"/>
            <w:gridSpan w:val="2"/>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rPr>
              <w:t>（二）部分公开（区分处理的，只计这一情形，不计其他情形）</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8</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7"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82"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rPr>
              <w:t>（三）不予公开</w:t>
            </w:r>
          </w:p>
        </w:tc>
        <w:tc>
          <w:tcPr>
            <w:tcW w:w="1353" w:type="pct"/>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lang w:val="en-US"/>
              </w:rPr>
              <w:t>1</w:t>
            </w:r>
            <w:r>
              <w:rPr>
                <w:rFonts w:hint="eastAsia" w:ascii="宋体" w:hAnsi="宋体" w:eastAsia="宋体" w:cs="宋体"/>
                <w:color w:val="000000"/>
                <w:sz w:val="18"/>
                <w:szCs w:val="18"/>
                <w:bdr w:val="none" w:color="auto" w:sz="0" w:space="0"/>
              </w:rPr>
              <w:t>．属于国家秘密</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3"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82"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53" w:type="pct"/>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lang w:val="en-US"/>
              </w:rPr>
              <w:t>2</w:t>
            </w:r>
            <w:r>
              <w:rPr>
                <w:rFonts w:hint="eastAsia" w:ascii="宋体" w:hAnsi="宋体" w:eastAsia="宋体" w:cs="宋体"/>
                <w:color w:val="000000"/>
                <w:sz w:val="18"/>
                <w:szCs w:val="18"/>
                <w:bdr w:val="none" w:color="auto" w:sz="0" w:space="0"/>
              </w:rPr>
              <w:t>．其他法律行政法规禁止公开</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2</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7"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82"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53" w:type="pct"/>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lang w:val="en-US"/>
              </w:rPr>
              <w:t>3</w:t>
            </w:r>
            <w:r>
              <w:rPr>
                <w:rFonts w:hint="eastAsia" w:ascii="宋体" w:hAnsi="宋体" w:eastAsia="宋体" w:cs="宋体"/>
                <w:color w:val="000000"/>
                <w:sz w:val="18"/>
                <w:szCs w:val="18"/>
                <w:bdr w:val="none" w:color="auto" w:sz="0" w:space="0"/>
              </w:rPr>
              <w:t>．危及“三安全一稳定”</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5"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82"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53" w:type="pct"/>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lang w:val="en-US"/>
              </w:rPr>
              <w:t>4</w:t>
            </w:r>
            <w:r>
              <w:rPr>
                <w:rFonts w:hint="eastAsia" w:ascii="宋体" w:hAnsi="宋体" w:eastAsia="宋体" w:cs="宋体"/>
                <w:color w:val="000000"/>
                <w:sz w:val="18"/>
                <w:szCs w:val="18"/>
                <w:bdr w:val="none" w:color="auto" w:sz="0" w:space="0"/>
              </w:rPr>
              <w:t>．保护第三方合法权益</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4"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82"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53" w:type="pct"/>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lang w:val="en-US"/>
              </w:rPr>
              <w:t>5</w:t>
            </w:r>
            <w:r>
              <w:rPr>
                <w:rFonts w:hint="eastAsia" w:ascii="宋体" w:hAnsi="宋体" w:eastAsia="宋体" w:cs="宋体"/>
                <w:color w:val="000000"/>
                <w:sz w:val="18"/>
                <w:szCs w:val="18"/>
                <w:bdr w:val="none" w:color="auto" w:sz="0" w:space="0"/>
              </w:rPr>
              <w:t>．属于三类内部事务信息</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7"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82"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53" w:type="pct"/>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lang w:val="en-US"/>
              </w:rPr>
              <w:t>6</w:t>
            </w:r>
            <w:r>
              <w:rPr>
                <w:rFonts w:hint="eastAsia" w:ascii="宋体" w:hAnsi="宋体" w:eastAsia="宋体" w:cs="宋体"/>
                <w:color w:val="000000"/>
                <w:sz w:val="18"/>
                <w:szCs w:val="18"/>
                <w:bdr w:val="none" w:color="auto" w:sz="0" w:space="0"/>
              </w:rPr>
              <w:t>．属于四类过程性信息</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1</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3"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82"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53" w:type="pct"/>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lang w:val="en-US"/>
              </w:rPr>
              <w:t>7</w:t>
            </w:r>
            <w:r>
              <w:rPr>
                <w:rFonts w:hint="eastAsia" w:ascii="宋体" w:hAnsi="宋体" w:eastAsia="宋体" w:cs="宋体"/>
                <w:color w:val="000000"/>
                <w:sz w:val="18"/>
                <w:szCs w:val="18"/>
                <w:bdr w:val="none" w:color="auto" w:sz="0" w:space="0"/>
              </w:rPr>
              <w:t>．属于行政执法案卷</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8"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82"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53" w:type="pct"/>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lang w:val="en-US"/>
              </w:rPr>
              <w:t>8</w:t>
            </w:r>
            <w:r>
              <w:rPr>
                <w:rFonts w:hint="eastAsia" w:ascii="宋体" w:hAnsi="宋体" w:eastAsia="宋体" w:cs="宋体"/>
                <w:color w:val="000000"/>
                <w:sz w:val="18"/>
                <w:szCs w:val="18"/>
                <w:bdr w:val="none" w:color="auto" w:sz="0" w:space="0"/>
              </w:rPr>
              <w:t>．属于行政查询事项</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0"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82"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rPr>
              <w:t>（四）无法提供</w:t>
            </w:r>
          </w:p>
        </w:tc>
        <w:tc>
          <w:tcPr>
            <w:tcW w:w="1353" w:type="pct"/>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lang w:val="en-US"/>
              </w:rPr>
              <w:t>1</w:t>
            </w:r>
            <w:r>
              <w:rPr>
                <w:rFonts w:hint="eastAsia" w:ascii="宋体" w:hAnsi="宋体" w:eastAsia="宋体" w:cs="宋体"/>
                <w:color w:val="000000"/>
                <w:sz w:val="18"/>
                <w:szCs w:val="18"/>
                <w:bdr w:val="none" w:color="auto" w:sz="0" w:space="0"/>
              </w:rPr>
              <w:t>．本机关不掌握相关政府信息</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21</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0000"/>
                <w:bdr w:val="none" w:color="auto" w:sz="0" w:space="0"/>
                <w:lang w:val="en-US"/>
              </w:rPr>
              <w:t>  1</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6"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82"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53" w:type="pct"/>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lang w:val="en-US"/>
              </w:rPr>
              <w:t>2</w:t>
            </w:r>
            <w:r>
              <w:rPr>
                <w:rFonts w:hint="eastAsia" w:ascii="宋体" w:hAnsi="宋体" w:eastAsia="宋体" w:cs="宋体"/>
                <w:color w:val="000000"/>
                <w:sz w:val="18"/>
                <w:szCs w:val="18"/>
                <w:bdr w:val="none" w:color="auto" w:sz="0" w:space="0"/>
              </w:rPr>
              <w:t>．没有现成信息需要另行制作</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82"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53" w:type="pct"/>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lang w:val="en-US"/>
              </w:rPr>
              <w:t>3</w:t>
            </w:r>
            <w:r>
              <w:rPr>
                <w:rFonts w:hint="eastAsia" w:ascii="宋体" w:hAnsi="宋体" w:eastAsia="宋体" w:cs="宋体"/>
                <w:color w:val="000000"/>
                <w:sz w:val="18"/>
                <w:szCs w:val="18"/>
                <w:bdr w:val="none" w:color="auto" w:sz="0" w:space="0"/>
              </w:rPr>
              <w:t>．补正后申请内容仍不明确</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1</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1"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82"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rPr>
              <w:t>（五）不予处理</w:t>
            </w:r>
          </w:p>
        </w:tc>
        <w:tc>
          <w:tcPr>
            <w:tcW w:w="1353" w:type="pct"/>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lang w:val="en-US"/>
              </w:rPr>
              <w:t>1</w:t>
            </w:r>
            <w:r>
              <w:rPr>
                <w:rFonts w:hint="eastAsia" w:ascii="宋体" w:hAnsi="宋体" w:eastAsia="宋体" w:cs="宋体"/>
                <w:color w:val="000000"/>
                <w:sz w:val="18"/>
                <w:szCs w:val="18"/>
                <w:bdr w:val="none" w:color="auto" w:sz="0" w:space="0"/>
              </w:rPr>
              <w:t>．信访举报投诉类申请</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82"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53" w:type="pct"/>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lang w:val="en-US"/>
              </w:rPr>
              <w:t>2</w:t>
            </w:r>
            <w:r>
              <w:rPr>
                <w:rFonts w:hint="eastAsia" w:ascii="宋体" w:hAnsi="宋体" w:eastAsia="宋体" w:cs="宋体"/>
                <w:color w:val="000000"/>
                <w:sz w:val="18"/>
                <w:szCs w:val="18"/>
                <w:bdr w:val="none" w:color="auto" w:sz="0" w:space="0"/>
              </w:rPr>
              <w:t>．重复申请</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1</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1"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82"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53" w:type="pct"/>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lang w:val="en-US"/>
              </w:rPr>
              <w:t>3</w:t>
            </w:r>
            <w:r>
              <w:rPr>
                <w:rFonts w:hint="eastAsia" w:ascii="宋体" w:hAnsi="宋体" w:eastAsia="宋体" w:cs="宋体"/>
                <w:color w:val="000000"/>
                <w:sz w:val="18"/>
                <w:szCs w:val="18"/>
                <w:bdr w:val="none" w:color="auto" w:sz="0" w:space="0"/>
              </w:rPr>
              <w:t>．要求提供公开出版物</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4"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82"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53" w:type="pct"/>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lang w:val="en-US"/>
              </w:rPr>
              <w:t>4</w:t>
            </w:r>
            <w:r>
              <w:rPr>
                <w:rFonts w:hint="eastAsia" w:ascii="宋体" w:hAnsi="宋体" w:eastAsia="宋体" w:cs="宋体"/>
                <w:color w:val="000000"/>
                <w:sz w:val="18"/>
                <w:szCs w:val="18"/>
                <w:bdr w:val="none" w:color="auto" w:sz="0" w:space="0"/>
              </w:rPr>
              <w:t>．无正当理由大量反复申请</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1" w:hRule="atLeast"/>
          <w:jc w:val="center"/>
        </w:trPr>
        <w:tc>
          <w:tcPr>
            <w:tcW w:w="37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82"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53" w:type="pct"/>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0" w:hanging="180"/>
            </w:pPr>
            <w:r>
              <w:rPr>
                <w:rFonts w:hint="eastAsia" w:ascii="宋体" w:hAnsi="宋体" w:eastAsia="宋体" w:cs="宋体"/>
                <w:color w:val="000000"/>
                <w:sz w:val="18"/>
                <w:szCs w:val="18"/>
                <w:bdr w:val="none" w:color="auto" w:sz="0" w:space="0"/>
                <w:lang w:val="en-US"/>
              </w:rPr>
              <w:t>5</w:t>
            </w:r>
            <w:r>
              <w:rPr>
                <w:rFonts w:hint="eastAsia" w:ascii="宋体" w:hAnsi="宋体" w:eastAsia="宋体" w:cs="宋体"/>
                <w:color w:val="000000"/>
                <w:sz w:val="18"/>
                <w:szCs w:val="18"/>
                <w:bdr w:val="none" w:color="auto" w:sz="0" w:space="0"/>
              </w:rPr>
              <w:t>．要求行政机关确认或重新出具已获取信息</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1" w:hRule="atLeast"/>
          <w:jc w:val="center"/>
        </w:trPr>
        <w:tc>
          <w:tcPr>
            <w:tcW w:w="375" w:type="pct"/>
            <w:tcBorders>
              <w:top w:val="nil"/>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0000"/>
                <w:bdr w:val="none" w:color="auto" w:sz="0" w:space="0"/>
                <w:lang w:val="en-US"/>
              </w:rPr>
              <w:t> </w:t>
            </w:r>
          </w:p>
        </w:tc>
        <w:tc>
          <w:tcPr>
            <w:tcW w:w="2135" w:type="pct"/>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rPr>
              <w:t>（六）其他处理</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1</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3" w:hRule="atLeast"/>
          <w:jc w:val="center"/>
        </w:trPr>
        <w:tc>
          <w:tcPr>
            <w:tcW w:w="375" w:type="pct"/>
            <w:tcBorders>
              <w:top w:val="nil"/>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0000"/>
                <w:bdr w:val="none" w:color="auto" w:sz="0" w:space="0"/>
                <w:lang w:val="en-US"/>
              </w:rPr>
              <w:t> </w:t>
            </w:r>
          </w:p>
        </w:tc>
        <w:tc>
          <w:tcPr>
            <w:tcW w:w="2135" w:type="pct"/>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8"/>
                <w:szCs w:val="18"/>
                <w:bdr w:val="none" w:color="auto" w:sz="0" w:space="0"/>
              </w:rPr>
              <w:t>（七）总计</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0000"/>
                <w:bdr w:val="none" w:color="auto" w:sz="0" w:space="0"/>
                <w:lang w:val="en-US"/>
              </w:rPr>
              <w:t>84</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2</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1</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87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50" w:hRule="atLeast"/>
          <w:jc w:val="center"/>
        </w:trPr>
        <w:tc>
          <w:tcPr>
            <w:tcW w:w="2510" w:type="pct"/>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bdr w:val="none" w:color="auto" w:sz="0" w:space="0"/>
              </w:rPr>
              <w:t>四、结转下年度继续办理</w:t>
            </w:r>
          </w:p>
        </w:tc>
        <w:tc>
          <w:tcPr>
            <w:tcW w:w="29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4</w:t>
            </w:r>
          </w:p>
        </w:tc>
        <w:tc>
          <w:tcPr>
            <w:tcW w:w="37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8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7"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4</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12" w:beforeAutospacing="0" w:after="156" w:afterAutospacing="0"/>
        <w:ind w:left="0" w:right="0" w:firstLine="640"/>
      </w:pPr>
      <w:r>
        <w:rPr>
          <w:rFonts w:hint="eastAsia" w:ascii="黑体" w:hAnsi="宋体" w:eastAsia="黑体" w:cs="黑体"/>
          <w:i w:val="0"/>
          <w:iCs w:val="0"/>
          <w:caps w:val="0"/>
          <w:color w:val="000000"/>
          <w:spacing w:val="0"/>
          <w:sz w:val="32"/>
          <w:szCs w:val="32"/>
          <w:bdr w:val="none" w:color="auto" w:sz="0" w:space="0"/>
          <w:shd w:val="clear" w:fill="FFFFFF"/>
        </w:rPr>
        <w:t>四、政府信息公开行政复议、行政诉讼情况</w:t>
      </w:r>
    </w:p>
    <w:tbl>
      <w:tblPr>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4"/>
        <w:gridCol w:w="574"/>
        <w:gridCol w:w="574"/>
        <w:gridCol w:w="615"/>
        <w:gridCol w:w="456"/>
        <w:gridCol w:w="574"/>
        <w:gridCol w:w="574"/>
        <w:gridCol w:w="574"/>
        <w:gridCol w:w="574"/>
        <w:gridCol w:w="472"/>
        <w:gridCol w:w="693"/>
        <w:gridCol w:w="615"/>
        <w:gridCol w:w="591"/>
        <w:gridCol w:w="603"/>
        <w:gridCol w:w="4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5" w:hRule="atLeast"/>
          <w:jc w:val="center"/>
        </w:trPr>
        <w:tc>
          <w:tcPr>
            <w:tcW w:w="1639" w:type="pct"/>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行政复议</w:t>
            </w:r>
          </w:p>
        </w:tc>
        <w:tc>
          <w:tcPr>
            <w:tcW w:w="3360" w:type="pct"/>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7" w:hRule="atLeast"/>
          <w:jc w:val="center"/>
        </w:trPr>
        <w:tc>
          <w:tcPr>
            <w:tcW w:w="34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结果维持</w:t>
            </w:r>
          </w:p>
        </w:tc>
        <w:tc>
          <w:tcPr>
            <w:tcW w:w="34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结果纠正</w:t>
            </w:r>
          </w:p>
        </w:tc>
        <w:tc>
          <w:tcPr>
            <w:tcW w:w="34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其他结果</w:t>
            </w:r>
          </w:p>
        </w:tc>
        <w:tc>
          <w:tcPr>
            <w:tcW w:w="364"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尚未审结</w:t>
            </w:r>
          </w:p>
        </w:tc>
        <w:tc>
          <w:tcPr>
            <w:tcW w:w="252"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总计</w:t>
            </w:r>
          </w:p>
        </w:tc>
        <w:tc>
          <w:tcPr>
            <w:tcW w:w="1640" w:type="pct"/>
            <w:gridSpan w:val="5"/>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未经复议直接起诉</w:t>
            </w:r>
          </w:p>
        </w:tc>
        <w:tc>
          <w:tcPr>
            <w:tcW w:w="1720" w:type="pct"/>
            <w:gridSpan w:val="5"/>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2" w:hRule="atLeast"/>
          <w:jc w:val="center"/>
        </w:trPr>
        <w:tc>
          <w:tcPr>
            <w:tcW w:w="34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40"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40"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64"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52"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4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结果维持</w:t>
            </w:r>
          </w:p>
        </w:tc>
        <w:tc>
          <w:tcPr>
            <w:tcW w:w="34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结果纠正</w:t>
            </w:r>
          </w:p>
        </w:tc>
        <w:tc>
          <w:tcPr>
            <w:tcW w:w="34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其他结果</w:t>
            </w:r>
          </w:p>
        </w:tc>
        <w:tc>
          <w:tcPr>
            <w:tcW w:w="34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尚未审结</w:t>
            </w:r>
          </w:p>
        </w:tc>
        <w:tc>
          <w:tcPr>
            <w:tcW w:w="276"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总计</w:t>
            </w:r>
          </w:p>
        </w:tc>
        <w:tc>
          <w:tcPr>
            <w:tcW w:w="40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结果维持</w:t>
            </w:r>
          </w:p>
        </w:tc>
        <w:tc>
          <w:tcPr>
            <w:tcW w:w="363"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结果纠正</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其他结果</w:t>
            </w:r>
          </w:p>
        </w:tc>
        <w:tc>
          <w:tcPr>
            <w:tcW w:w="356"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尚未审结</w:t>
            </w:r>
          </w:p>
        </w:tc>
        <w:tc>
          <w:tcPr>
            <w:tcW w:w="241"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7" w:hRule="atLeast"/>
          <w:jc w:val="center"/>
        </w:trPr>
        <w:tc>
          <w:tcPr>
            <w:tcW w:w="340"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18"/>
                <w:szCs w:val="18"/>
                <w:bdr w:val="none" w:color="auto" w:sz="0" w:space="0"/>
                <w:lang w:val="en-US"/>
              </w:rPr>
              <w:t>1</w:t>
            </w:r>
          </w:p>
        </w:tc>
        <w:tc>
          <w:tcPr>
            <w:tcW w:w="34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18"/>
                <w:szCs w:val="18"/>
                <w:bdr w:val="none" w:color="auto" w:sz="0" w:space="0"/>
                <w:lang w:val="en-US"/>
              </w:rPr>
              <w:t>0</w:t>
            </w:r>
          </w:p>
        </w:tc>
        <w:tc>
          <w:tcPr>
            <w:tcW w:w="34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18"/>
                <w:szCs w:val="18"/>
                <w:bdr w:val="none" w:color="auto" w:sz="0" w:space="0"/>
                <w:lang w:val="en-US"/>
              </w:rPr>
              <w:t>0</w:t>
            </w:r>
          </w:p>
        </w:tc>
        <w:tc>
          <w:tcPr>
            <w:tcW w:w="364"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252"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1</w:t>
            </w:r>
          </w:p>
        </w:tc>
        <w:tc>
          <w:tcPr>
            <w:tcW w:w="34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0"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1</w:t>
            </w:r>
          </w:p>
        </w:tc>
        <w:tc>
          <w:tcPr>
            <w:tcW w:w="276"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1</w:t>
            </w:r>
          </w:p>
        </w:tc>
        <w:tc>
          <w:tcPr>
            <w:tcW w:w="40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63"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49"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356"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c>
          <w:tcPr>
            <w:tcW w:w="241" w:type="pc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bdr w:val="none" w:color="auto" w:sz="0" w:space="0"/>
                <w:lang w:val="en-US"/>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8" w:beforeAutospacing="0" w:after="0" w:afterAutospacing="0" w:line="600" w:lineRule="atLeast"/>
        <w:ind w:left="0" w:right="0" w:firstLine="640"/>
      </w:pPr>
      <w:r>
        <w:rPr>
          <w:rFonts w:hint="eastAsia" w:ascii="黑体" w:hAnsi="宋体" w:eastAsia="黑体" w:cs="黑体"/>
          <w:i w:val="0"/>
          <w:iCs w:val="0"/>
          <w:caps w:val="0"/>
          <w:color w:val="000000"/>
          <w:spacing w:val="0"/>
          <w:sz w:val="32"/>
          <w:szCs w:val="32"/>
          <w:bdr w:val="none" w:color="auto" w:sz="0" w:space="0"/>
          <w:shd w:val="clear" w:fill="FFFFFF"/>
          <w:lang w:val="en-US"/>
        </w:rPr>
        <w:t>五、</w:t>
      </w:r>
      <w:r>
        <w:rPr>
          <w:rFonts w:hint="eastAsia" w:ascii="黑体" w:hAnsi="宋体" w:eastAsia="黑体" w:cs="黑体"/>
          <w:i w:val="0"/>
          <w:iCs w:val="0"/>
          <w:caps w:val="0"/>
          <w:color w:val="000000"/>
          <w:spacing w:val="0"/>
          <w:sz w:val="32"/>
          <w:szCs w:val="32"/>
          <w:bdr w:val="none" w:color="auto" w:sz="0" w:space="0"/>
          <w:shd w:val="clear" w:fill="FFFFFF"/>
        </w:rPr>
        <w:t>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00" w:afterAutospacing="0" w:line="720" w:lineRule="atLeast"/>
        <w:ind w:left="0" w:right="0"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2020</w:t>
      </w:r>
      <w:r>
        <w:rPr>
          <w:rFonts w:hint="default" w:ascii="仿宋_GB2312" w:hAnsi="微软雅黑" w:eastAsia="仿宋_GB2312" w:cs="仿宋_GB2312"/>
          <w:i w:val="0"/>
          <w:iCs w:val="0"/>
          <w:caps w:val="0"/>
          <w:color w:val="000000"/>
          <w:spacing w:val="0"/>
          <w:sz w:val="32"/>
          <w:szCs w:val="32"/>
          <w:bdr w:val="none" w:color="auto" w:sz="0" w:space="0"/>
          <w:shd w:val="clear" w:fill="FFFFFF"/>
        </w:rPr>
        <w:t>年，我局信息公开工作虽然取得了一定进展，但仍然存在一些问题和不足：</w:t>
      </w:r>
      <w:r>
        <w:rPr>
          <w:rStyle w:val="6"/>
          <w:rFonts w:hint="default" w:ascii="仿宋_GB2312" w:hAnsi="微软雅黑" w:eastAsia="仿宋_GB2312" w:cs="仿宋_GB2312"/>
          <w:b/>
          <w:bCs/>
          <w:i w:val="0"/>
          <w:iCs w:val="0"/>
          <w:caps w:val="0"/>
          <w:color w:val="000000"/>
          <w:spacing w:val="0"/>
          <w:sz w:val="32"/>
          <w:szCs w:val="32"/>
          <w:bdr w:val="none" w:color="auto" w:sz="0" w:space="0"/>
          <w:shd w:val="clear" w:fill="FFFFFF"/>
        </w:rPr>
        <w:t>一是</w:t>
      </w:r>
      <w:r>
        <w:rPr>
          <w:rFonts w:hint="default" w:ascii="仿宋_GB2312" w:hAnsi="微软雅黑" w:eastAsia="仿宋_GB2312" w:cs="仿宋_GB2312"/>
          <w:i w:val="0"/>
          <w:iCs w:val="0"/>
          <w:caps w:val="0"/>
          <w:color w:val="000000"/>
          <w:spacing w:val="0"/>
          <w:sz w:val="32"/>
          <w:szCs w:val="32"/>
          <w:bdr w:val="none" w:color="auto" w:sz="0" w:space="0"/>
          <w:shd w:val="clear" w:fill="FFFFFF"/>
        </w:rPr>
        <w:t>政务公开的信息供给与市民群众的新期待新需求在一定程度上还不相匹配。</w:t>
      </w:r>
      <w:r>
        <w:rPr>
          <w:rStyle w:val="6"/>
          <w:rFonts w:hint="default" w:ascii="仿宋_GB2312" w:hAnsi="微软雅黑" w:eastAsia="仿宋_GB2312" w:cs="仿宋_GB2312"/>
          <w:b/>
          <w:bCs/>
          <w:i w:val="0"/>
          <w:iCs w:val="0"/>
          <w:caps w:val="0"/>
          <w:color w:val="000000"/>
          <w:spacing w:val="0"/>
          <w:sz w:val="32"/>
          <w:szCs w:val="32"/>
          <w:bdr w:val="none" w:color="auto" w:sz="0" w:space="0"/>
          <w:shd w:val="clear" w:fill="FFFFFF"/>
        </w:rPr>
        <w:t>二是</w:t>
      </w:r>
      <w:r>
        <w:rPr>
          <w:rFonts w:hint="default" w:ascii="仿宋_GB2312" w:hAnsi="微软雅黑" w:eastAsia="仿宋_GB2312" w:cs="仿宋_GB2312"/>
          <w:i w:val="0"/>
          <w:iCs w:val="0"/>
          <w:caps w:val="0"/>
          <w:color w:val="000000"/>
          <w:spacing w:val="0"/>
          <w:sz w:val="32"/>
          <w:szCs w:val="32"/>
          <w:bdr w:val="none" w:color="auto" w:sz="0" w:space="0"/>
          <w:shd w:val="clear" w:fill="FFFFFF"/>
        </w:rPr>
        <w:t>全方位解读、回应、互动的格局还没有完全形成，</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政府信息公开率较低，</w:t>
      </w:r>
      <w:r>
        <w:rPr>
          <w:rFonts w:hint="default" w:ascii="仿宋_GB2312" w:hAnsi="微软雅黑" w:eastAsia="仿宋_GB2312" w:cs="仿宋_GB2312"/>
          <w:i w:val="0"/>
          <w:iCs w:val="0"/>
          <w:caps w:val="0"/>
          <w:color w:val="000000"/>
          <w:spacing w:val="0"/>
          <w:sz w:val="32"/>
          <w:szCs w:val="32"/>
          <w:bdr w:val="none" w:color="auto" w:sz="0" w:space="0"/>
          <w:shd w:val="clear" w:fill="FFFFFF"/>
        </w:rPr>
        <w:t>政务公开标准化规范化建设有待加强。</w:t>
      </w:r>
      <w:r>
        <w:rPr>
          <w:rStyle w:val="6"/>
          <w:rFonts w:hint="default" w:ascii="仿宋_GB2312" w:hAnsi="微软雅黑" w:eastAsia="仿宋_GB2312" w:cs="仿宋_GB2312"/>
          <w:b/>
          <w:bCs/>
          <w:i w:val="0"/>
          <w:iCs w:val="0"/>
          <w:caps w:val="0"/>
          <w:color w:val="000000"/>
          <w:spacing w:val="0"/>
          <w:sz w:val="32"/>
          <w:szCs w:val="32"/>
          <w:bdr w:val="none" w:color="auto" w:sz="0" w:space="0"/>
          <w:shd w:val="clear" w:fill="FFFFFF"/>
          <w:lang w:eastAsia="zh-CN"/>
        </w:rPr>
        <w:t>三是</w:t>
      </w:r>
      <w:r>
        <w:rPr>
          <w:rFonts w:hint="default" w:ascii="仿宋_GB2312" w:hAnsi="微软雅黑" w:eastAsia="仿宋_GB2312" w:cs="仿宋_GB2312"/>
          <w:i w:val="0"/>
          <w:iCs w:val="0"/>
          <w:caps w:val="0"/>
          <w:color w:val="000000"/>
          <w:spacing w:val="0"/>
          <w:sz w:val="32"/>
          <w:szCs w:val="32"/>
          <w:bdr w:val="none" w:color="auto" w:sz="0" w:space="0"/>
          <w:shd w:val="clear" w:fill="FFFFFF"/>
        </w:rPr>
        <w:t>政务公开队伍专业化水平还需进一步提高。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00" w:afterAutospacing="0" w:line="720" w:lineRule="atLeast"/>
        <w:ind w:left="0" w:right="0"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rPr>
        <w:t>　</w:t>
      </w: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2021</w:t>
      </w:r>
      <w:r>
        <w:rPr>
          <w:rFonts w:hint="default" w:ascii="仿宋_GB2312" w:hAnsi="微软雅黑" w:eastAsia="仿宋_GB2312" w:cs="仿宋_GB2312"/>
          <w:i w:val="0"/>
          <w:iCs w:val="0"/>
          <w:caps w:val="0"/>
          <w:color w:val="000000"/>
          <w:spacing w:val="0"/>
          <w:sz w:val="32"/>
          <w:szCs w:val="32"/>
          <w:bdr w:val="none" w:color="auto" w:sz="0" w:space="0"/>
          <w:shd w:val="clear" w:fill="FFFFFF"/>
        </w:rPr>
        <w:t>年，我局将按照国家、省、市的要求，继续积极推进政府信息公开工作，主要做好以下几个方面：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00" w:afterAutospacing="0" w:line="720" w:lineRule="atLeast"/>
        <w:ind w:left="0" w:right="0"/>
      </w:pPr>
      <w:r>
        <w:rPr>
          <w:rStyle w:val="6"/>
          <w:rFonts w:hint="default" w:ascii="仿宋_GB2312" w:hAnsi="微软雅黑" w:eastAsia="仿宋_GB2312" w:cs="仿宋_GB2312"/>
          <w:b/>
          <w:bCs/>
          <w:i w:val="0"/>
          <w:iCs w:val="0"/>
          <w:caps w:val="0"/>
          <w:color w:val="000000"/>
          <w:spacing w:val="0"/>
          <w:sz w:val="32"/>
          <w:szCs w:val="32"/>
          <w:bdr w:val="none" w:color="auto" w:sz="0" w:space="0"/>
          <w:shd w:val="clear" w:fill="FFFFFF"/>
        </w:rPr>
        <w:t>　　一是完善政务公开制度体系。</w:t>
      </w:r>
      <w:r>
        <w:rPr>
          <w:rFonts w:hint="default" w:ascii="仿宋_GB2312" w:hAnsi="微软雅黑" w:eastAsia="仿宋_GB2312" w:cs="仿宋_GB2312"/>
          <w:i w:val="0"/>
          <w:iCs w:val="0"/>
          <w:caps w:val="0"/>
          <w:color w:val="000000"/>
          <w:spacing w:val="0"/>
          <w:sz w:val="32"/>
          <w:szCs w:val="32"/>
          <w:bdr w:val="none" w:color="auto" w:sz="0" w:space="0"/>
          <w:shd w:val="clear" w:fill="FFFFFF"/>
        </w:rPr>
        <w:t>坚持以公开为常态、不公开为例外，加强政务信息管理，进一步完善政务公开的组织协调、保密审查、主动公开、依申请公开、政策解读、回应关切、政民互动、公众参与、平台建设等制度规范和工作流程体系。加大对社会各界关注度高、涉及群众切身利益、自然资源工作热点和亮点、创新与重大决定等信息的公开力度，切实丰富公开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00" w:afterAutospacing="0" w:line="720" w:lineRule="atLeast"/>
        <w:ind w:left="0" w:right="0"/>
      </w:pPr>
      <w:r>
        <w:rPr>
          <w:rStyle w:val="6"/>
          <w:rFonts w:hint="default" w:ascii="仿宋_GB2312" w:hAnsi="微软雅黑" w:eastAsia="仿宋_GB2312" w:cs="仿宋_GB2312"/>
          <w:b/>
          <w:bCs/>
          <w:i w:val="0"/>
          <w:iCs w:val="0"/>
          <w:caps w:val="0"/>
          <w:color w:val="000000"/>
          <w:spacing w:val="0"/>
          <w:sz w:val="32"/>
          <w:szCs w:val="32"/>
          <w:bdr w:val="none" w:color="auto" w:sz="0" w:space="0"/>
          <w:shd w:val="clear" w:fill="FFFFFF"/>
        </w:rPr>
        <w:t>　　二是加强政务公开标准化建设。</w:t>
      </w:r>
      <w:r>
        <w:rPr>
          <w:rFonts w:hint="default" w:ascii="仿宋_GB2312" w:hAnsi="微软雅黑" w:eastAsia="仿宋_GB2312" w:cs="仿宋_GB2312"/>
          <w:i w:val="0"/>
          <w:iCs w:val="0"/>
          <w:caps w:val="0"/>
          <w:color w:val="000000"/>
          <w:spacing w:val="0"/>
          <w:sz w:val="32"/>
          <w:szCs w:val="32"/>
          <w:bdr w:val="none" w:color="auto" w:sz="0" w:space="0"/>
          <w:shd w:val="clear" w:fill="FFFFFF"/>
        </w:rPr>
        <w:t>对照城乡规划及农村集体土地征收领域基层政务公开标准目录，结合我局职能，将政务公开工作规则固化到现有业务流程中，做到政务公开操作与其他业务工作紧密结合、同步运作，通过线上线下全面准确公开目录事项，保障群众知情权、参与权及监督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00" w:afterAutospacing="0" w:line="720" w:lineRule="atLeast"/>
        <w:ind w:left="0" w:right="0"/>
      </w:pPr>
      <w:r>
        <w:rPr>
          <w:rStyle w:val="6"/>
          <w:rFonts w:hint="default" w:ascii="仿宋_GB2312" w:hAnsi="微软雅黑" w:eastAsia="仿宋_GB2312" w:cs="仿宋_GB2312"/>
          <w:b/>
          <w:bCs/>
          <w:i w:val="0"/>
          <w:iCs w:val="0"/>
          <w:caps w:val="0"/>
          <w:color w:val="000000"/>
          <w:spacing w:val="0"/>
          <w:sz w:val="32"/>
          <w:szCs w:val="32"/>
          <w:bdr w:val="none" w:color="auto" w:sz="0" w:space="0"/>
          <w:shd w:val="clear" w:fill="FFFFFF"/>
        </w:rPr>
        <w:t>　　三是提升依申请公开工作质量和效率。</w:t>
      </w:r>
      <w:r>
        <w:rPr>
          <w:rFonts w:hint="default" w:ascii="仿宋_GB2312" w:hAnsi="微软雅黑" w:eastAsia="仿宋_GB2312" w:cs="仿宋_GB2312"/>
          <w:i w:val="0"/>
          <w:iCs w:val="0"/>
          <w:caps w:val="0"/>
          <w:color w:val="000000"/>
          <w:spacing w:val="0"/>
          <w:sz w:val="32"/>
          <w:szCs w:val="32"/>
          <w:bdr w:val="none" w:color="auto" w:sz="0" w:space="0"/>
          <w:shd w:val="clear" w:fill="FFFFFF"/>
        </w:rPr>
        <w:t>严格执行《中华人民共和国政府信息公开条例》关于答复期限、答复类型、答复方式等各项规定，做到程序合法、处置合理、答复规范、措辞得当，最大限度为申请人提供相关政府信息，切实保障申请人权利，维护政府公信力。加强与申请人的沟通，指引申请人合理并按照程序申请信息公开，引导申请人依法依规行使权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00" w:afterAutospacing="0" w:line="720" w:lineRule="atLeast"/>
        <w:ind w:left="0" w:right="0"/>
      </w:pPr>
      <w:r>
        <w:rPr>
          <w:rStyle w:val="6"/>
          <w:rFonts w:hint="default" w:ascii="仿宋_GB2312" w:hAnsi="微软雅黑" w:eastAsia="仿宋_GB2312" w:cs="仿宋_GB2312"/>
          <w:b/>
          <w:bCs/>
          <w:i w:val="0"/>
          <w:iCs w:val="0"/>
          <w:caps w:val="0"/>
          <w:color w:val="000000"/>
          <w:spacing w:val="0"/>
          <w:sz w:val="32"/>
          <w:szCs w:val="32"/>
          <w:bdr w:val="none" w:color="auto" w:sz="0" w:space="0"/>
          <w:shd w:val="clear" w:fill="FFFFFF"/>
        </w:rPr>
        <w:t>　　四是加强政务信息公开队伍建设。</w:t>
      </w:r>
      <w:r>
        <w:rPr>
          <w:rFonts w:hint="default" w:ascii="仿宋_GB2312" w:hAnsi="微软雅黑" w:eastAsia="仿宋_GB2312" w:cs="仿宋_GB2312"/>
          <w:i w:val="0"/>
          <w:iCs w:val="0"/>
          <w:caps w:val="0"/>
          <w:color w:val="000000"/>
          <w:spacing w:val="0"/>
          <w:sz w:val="32"/>
          <w:szCs w:val="32"/>
          <w:bdr w:val="none" w:color="auto" w:sz="0" w:space="0"/>
          <w:shd w:val="clear" w:fill="FFFFFF"/>
        </w:rPr>
        <w:t>加强与其他单位的交流，主动学习其他单位的先进经验做法，不断提高政务信息公开工作人员的业务水平和综合素质。制定培训计划，对我局内部工作人员开展政务公开知识培训，提升整体办理信息公开的素质能力，增强工作自觉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0"/>
      </w:pPr>
      <w:r>
        <w:rPr>
          <w:rFonts w:hint="eastAsia" w:ascii="黑体" w:hAnsi="宋体" w:eastAsia="黑体" w:cs="黑体"/>
          <w:i w:val="0"/>
          <w:iCs w:val="0"/>
          <w:caps w:val="0"/>
          <w:color w:val="000000"/>
          <w:spacing w:val="0"/>
          <w:sz w:val="32"/>
          <w:szCs w:val="32"/>
          <w:bdr w:val="none" w:color="auto" w:sz="0" w:space="0"/>
          <w:shd w:val="clear" w:fill="FFFFFF"/>
          <w:lang w:val="en-US"/>
        </w:rPr>
        <w:t>六、</w:t>
      </w:r>
      <w:r>
        <w:rPr>
          <w:rFonts w:hint="eastAsia" w:ascii="黑体" w:hAnsi="宋体" w:eastAsia="黑体" w:cs="黑体"/>
          <w:i w:val="0"/>
          <w:iCs w:val="0"/>
          <w:caps w:val="0"/>
          <w:color w:val="000000"/>
          <w:spacing w:val="0"/>
          <w:sz w:val="32"/>
          <w:szCs w:val="32"/>
          <w:bdr w:val="none" w:color="auto" w:sz="0" w:space="0"/>
          <w:shd w:val="clear" w:fill="FFFFFF"/>
          <w:lang w:eastAsia="zh-CN"/>
        </w:rPr>
        <w:t>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pPr>
      <w:r>
        <w:rPr>
          <w:rFonts w:hint="default" w:ascii="仿宋_GB2312" w:hAnsi="微软雅黑" w:eastAsia="仿宋_GB2312" w:cs="仿宋_GB2312"/>
          <w:i w:val="0"/>
          <w:iCs w:val="0"/>
          <w:caps w:val="0"/>
          <w:color w:val="000000"/>
          <w:spacing w:val="0"/>
          <w:sz w:val="32"/>
          <w:szCs w:val="32"/>
          <w:bdr w:val="none" w:color="auto" w:sz="0" w:space="0"/>
          <w:shd w:val="clear" w:fill="FFFFFF"/>
          <w:lang w:val="en-US"/>
        </w:rPr>
        <w:t>    </w:t>
      </w:r>
      <w:r>
        <w:rPr>
          <w:rFonts w:hint="default" w:ascii="仿宋_GB2312" w:hAnsi="微软雅黑" w:eastAsia="仿宋_GB2312" w:cs="仿宋_GB2312"/>
          <w:i w:val="0"/>
          <w:iCs w:val="0"/>
          <w:caps w:val="0"/>
          <w:color w:val="000000"/>
          <w:spacing w:val="0"/>
          <w:sz w:val="32"/>
          <w:szCs w:val="32"/>
          <w:bdr w:val="none" w:color="auto" w:sz="0" w:space="0"/>
          <w:shd w:val="clear" w:fill="FFFFFF"/>
          <w:lang w:eastAsia="zh-CN"/>
        </w:rPr>
        <w:t>无其他需要报告的事项。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D146D"/>
    <w:rsid w:val="3FFD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2021-05-18T02:58:00Z</dcterms:created>
  <dc:creator>申婷文</dc:creator>
  <cp:lastModifiedBy>申婷文</cp:lastModifiedBy>
  <dcterms:modified xsi:type="dcterms:W3CDTF">2021-05-18T03:00:24Z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F644BA9ECFB143FCA29AD7D582F11815</vt:lpwstr>
  </property>
</Properties>
</file>