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17"/>
          <w:sz w:val="48"/>
          <w:szCs w:val="48"/>
          <w:shd w:val="clear" w:fill="FFFFFF"/>
          <w:lang w:val="en-US" w:eastAsia="zh-CN"/>
        </w:rPr>
      </w:pPr>
      <w:r>
        <w:rPr>
          <w:rFonts w:hint="eastAsia" w:ascii="方正小标宋简体" w:hAnsi="方正小标宋简体" w:eastAsia="方正小标宋简体" w:cs="方正小标宋简体"/>
          <w:b w:val="0"/>
          <w:bCs/>
          <w:i w:val="0"/>
          <w:caps w:val="0"/>
          <w:color w:val="auto"/>
          <w:spacing w:val="-17"/>
          <w:sz w:val="48"/>
          <w:szCs w:val="48"/>
          <w:shd w:val="clear" w:fill="FFFFFF"/>
          <w:lang w:val="en-US" w:eastAsia="zh-CN"/>
        </w:rPr>
        <w:t>淄博市自然资源和规划局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8"/>
          <w:szCs w:val="48"/>
          <w:shd w:val="clear" w:fill="FFFFFF"/>
          <w:lang w:eastAsia="zh-CN"/>
        </w:rPr>
      </w:pPr>
      <w:r>
        <w:rPr>
          <w:rFonts w:hint="eastAsia" w:ascii="方正小标宋简体" w:hAnsi="方正小标宋简体" w:eastAsia="方正小标宋简体" w:cs="方正小标宋简体"/>
          <w:b w:val="0"/>
          <w:bCs/>
          <w:i w:val="0"/>
          <w:caps w:val="0"/>
          <w:color w:val="auto"/>
          <w:spacing w:val="-17"/>
          <w:sz w:val="48"/>
          <w:szCs w:val="48"/>
          <w:shd w:val="clear" w:fill="FFFFFF"/>
          <w:lang w:val="en-US" w:eastAsia="zh-CN"/>
        </w:rPr>
        <w:t>2023年</w:t>
      </w:r>
      <w:r>
        <w:rPr>
          <w:rFonts w:hint="eastAsia" w:ascii="方正小标宋简体" w:hAnsi="方正小标宋简体" w:eastAsia="方正小标宋简体" w:cs="方正小标宋简体"/>
          <w:b w:val="0"/>
          <w:bCs/>
          <w:i w:val="0"/>
          <w:caps w:val="0"/>
          <w:color w:val="auto"/>
          <w:spacing w:val="-17"/>
          <w:sz w:val="48"/>
          <w:szCs w:val="48"/>
          <w:shd w:val="clear" w:fill="FFFFFF"/>
        </w:rPr>
        <w:t>政府信息公开工作</w:t>
      </w:r>
      <w:r>
        <w:rPr>
          <w:rFonts w:hint="eastAsia" w:ascii="方正小标宋简体" w:hAnsi="方正小标宋简体" w:eastAsia="方正小标宋简体" w:cs="方正小标宋简体"/>
          <w:b w:val="0"/>
          <w:bCs/>
          <w:i w:val="0"/>
          <w:caps w:val="0"/>
          <w:color w:val="auto"/>
          <w:spacing w:val="0"/>
          <w:sz w:val="48"/>
          <w:szCs w:val="48"/>
          <w:shd w:val="clear" w:fill="FFFFFF"/>
        </w:rPr>
        <w:t>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本报告由总体情况、主动公开政府信息情况、收到和处理政府信息公开申请情况、政府信息公开行政复议、行政诉讼情况、存在的主要问题及改进情况、其他需要报告的事项六部分组成。本报告中所列数据统计期限自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年1月1日始，至202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年12月31日止。如对报告内容有任何疑问，请与淄博市自然资源和规划局办公室联系。（地址：淄博市张店区人民西路36号；邮编：255000；电话：0533-</w:t>
      </w:r>
      <w:r>
        <w:rPr>
          <w:rFonts w:hint="eastAsia" w:ascii="仿宋_GB2312" w:hAnsi="仿宋_GB2312" w:eastAsia="仿宋_GB2312" w:cs="仿宋_GB2312"/>
          <w:i w:val="0"/>
          <w:caps w:val="0"/>
          <w:color w:val="auto"/>
          <w:spacing w:val="0"/>
          <w:sz w:val="32"/>
          <w:szCs w:val="32"/>
          <w:lang w:val="en-US" w:eastAsia="zh-CN"/>
        </w:rPr>
        <w:t>3170770；电子邮箱：</w:t>
      </w:r>
      <w:r>
        <w:rPr>
          <w:rFonts w:hint="eastAsia" w:ascii="仿宋_GB2312" w:hAnsi="仿宋_GB2312" w:eastAsia="仿宋_GB2312" w:cs="仿宋_GB2312"/>
          <w:i w:val="0"/>
          <w:caps w:val="0"/>
          <w:color w:val="auto"/>
          <w:spacing w:val="0"/>
          <w:sz w:val="32"/>
          <w:szCs w:val="32"/>
          <w:u w:val="none"/>
          <w:lang w:val="en-US" w:eastAsia="zh-CN"/>
        </w:rPr>
        <w:t xml:space="preserve">zbgtxxbs@zb.shandong.cn </w:t>
      </w:r>
      <w:r>
        <w:rPr>
          <w:rFonts w:hint="eastAsia" w:ascii="仿宋_GB2312" w:hAnsi="仿宋_GB2312" w:eastAsia="仿宋_GB2312" w:cs="仿宋_GB2312"/>
          <w:i w:val="0"/>
          <w:caps w:val="0"/>
          <w:color w:val="auto"/>
          <w:spacing w:val="0"/>
          <w:sz w:val="32"/>
          <w:szCs w:val="32"/>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总体情况</w:t>
      </w:r>
      <w:bookmarkStart w:id="10" w:name="_GoBack"/>
      <w:bookmarkEnd w:id="1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2023年，淄博市自然资源和规划局认真贯彻落实上级关于政府信息公开工作的相关部署要求，严格执行《中华人民共和国政府信息公开条例》等有关规定，加强组织领导，完善制度措施，规范公开内容，拓展公开渠道，回应社会关切，着力推进信息公开工作的科学化、规范化和制度化，向社会公众提供及时、准确、高效的政府信息和自然资源和规划信息，依法保障公民的知情权、参与权、表达权和监督权。</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楷体_GB2312" w:hAnsi="楷体_GB2312" w:eastAsia="楷体_GB2312" w:cs="楷体_GB2312"/>
          <w:color w:val="auto"/>
          <w:sz w:val="32"/>
          <w:szCs w:val="32"/>
          <w:lang w:val="en-US" w:eastAsia="zh-CN"/>
        </w:rPr>
        <w:t>扎实推进政府信息公开工作。淄博</w:t>
      </w:r>
      <w:r>
        <w:rPr>
          <w:rFonts w:hint="eastAsia" w:ascii="仿宋_GB2312" w:hAnsi="仿宋_GB2312" w:eastAsia="仿宋_GB2312" w:cs="仿宋_GB2312"/>
          <w:color w:val="auto"/>
          <w:sz w:val="32"/>
          <w:szCs w:val="32"/>
          <w:lang w:val="en-US" w:eastAsia="zh-CN"/>
        </w:rPr>
        <w:t>市自然资源和规划局通过网站主动公开信息数约2332条，其中工作动态148条、行业新闻124条，涉及规划、地政、矿政、测政公示公告类1430条，通知公告42条，政策文件解读40条，财政信息28条，其他520条。2023年，淄博市自然资源和规划局共承办代表建议和政协提案18件，均已按期办结。另通过淄博市自然资源和规划局政务新媒体（微博：淄博市自然资源和规划局）发布信息数496条，通过政务新媒体（微信公众号：淄博市自然资源和规划局）发布信息数1366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依法依规完成依申请公开工作</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i w:val="0"/>
          <w:caps w:val="0"/>
          <w:color w:val="auto"/>
          <w:spacing w:val="0"/>
          <w:sz w:val="32"/>
          <w:szCs w:val="32"/>
        </w:rPr>
        <w:t>严格落实依申请公开登记、审核、办理、答复、归档闭环管理制度，明确专人负责依申请公开办理工作，同步畅通受理渠道，进而规范依申请公开办理，方便公众申请。严格按照依申请公开办理时限，确保按时办结。全年共收到政府信息公开申请</w:t>
      </w:r>
      <w:r>
        <w:rPr>
          <w:rFonts w:hint="eastAsia" w:ascii="仿宋_GB2312" w:hAnsi="仿宋_GB2312" w:eastAsia="仿宋_GB2312" w:cs="仿宋_GB2312"/>
          <w:i w:val="0"/>
          <w:caps w:val="0"/>
          <w:color w:val="auto"/>
          <w:spacing w:val="0"/>
          <w:sz w:val="32"/>
          <w:szCs w:val="32"/>
          <w:lang w:val="en-US" w:eastAsia="zh-CN"/>
        </w:rPr>
        <w:t>161</w:t>
      </w:r>
      <w:r>
        <w:rPr>
          <w:rFonts w:hint="eastAsia" w:ascii="仿宋_GB2312" w:hAnsi="仿宋_GB2312" w:eastAsia="仿宋_GB2312" w:cs="仿宋_GB2312"/>
          <w:i w:val="0"/>
          <w:caps w:val="0"/>
          <w:color w:val="auto"/>
          <w:spacing w:val="0"/>
          <w:sz w:val="32"/>
          <w:szCs w:val="32"/>
        </w:rPr>
        <w:t>件，答复率达100%。</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切实加强政府信息管理</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编制《政府信息主动公开基本目录》</w:t>
      </w:r>
      <w:r>
        <w:rPr>
          <w:rFonts w:hint="eastAsia" w:ascii="仿宋_GB2312" w:hAnsi="仿宋_GB2312" w:eastAsia="仿宋_GB2312" w:cs="仿宋_GB2312"/>
          <w:color w:val="auto"/>
          <w:sz w:val="32"/>
          <w:szCs w:val="32"/>
          <w:lang w:val="en-US" w:eastAsia="zh-CN"/>
        </w:rPr>
        <w:t>并进行动态调整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w:t>
      </w:r>
      <w:r>
        <w:rPr>
          <w:rFonts w:hint="eastAsia" w:ascii="仿宋_GB2312" w:hAnsi="仿宋_GB2312" w:eastAsia="仿宋_GB2312" w:cs="仿宋_GB2312"/>
          <w:color w:val="auto"/>
          <w:sz w:val="32"/>
          <w:szCs w:val="32"/>
          <w:lang w:eastAsia="zh-CN"/>
        </w:rPr>
        <w:t>行政务公开清单化管理。严格执行信息发布“三审三校”制度，定期开展政府门户网站和政务新媒体关于空白栏目、错链、错字等专项排查整改工作，确保政府信息表述规范、内容准确。</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lang w:eastAsia="zh-CN"/>
        </w:rPr>
        <w:t>强保密审查，严格落实公开前信息审查机制，严防泄密事件发生。在确保信息安全的前提下，进一步细化公开内容，扩大公开范围，丰富公开形式，依法依规及时主动更新政务信息。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）打造高效的政府信息公开平台。</w:t>
      </w:r>
      <w:r>
        <w:rPr>
          <w:rFonts w:hint="eastAsia" w:ascii="仿宋_GB2312" w:hAnsi="仿宋_GB2312" w:eastAsia="仿宋_GB2312" w:cs="仿宋_GB2312"/>
          <w:color w:val="auto"/>
          <w:sz w:val="32"/>
          <w:szCs w:val="32"/>
          <w:lang w:eastAsia="zh-CN"/>
        </w:rPr>
        <w:t>始终坚持以政府网站为主体，利用政务新媒体不断拓展政务公开内涵外延。加强网站日常管理工作，</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梳理政务公开各个栏目，按照网站公开的考核周期要求公开信息，确保栏目及时更新。进一步加强和完善政务新媒体常态化监管，着力提升政务新媒体网上履职尽责能力。</w:t>
      </w:r>
      <w:r>
        <w:rPr>
          <w:rFonts w:hint="eastAsia" w:ascii="仿宋_GB2312" w:hAnsi="仿宋_GB2312" w:eastAsia="仿宋_GB2312" w:cs="仿宋_GB2312"/>
          <w:color w:val="auto"/>
          <w:sz w:val="32"/>
          <w:szCs w:val="32"/>
          <w:lang w:val="en-US" w:eastAsia="zh-CN"/>
        </w:rPr>
        <w:t>2023年，微信公众号推送信息1366条，阅读总量达47.4万次，提供服务查询3519余次，微博发布信息数496条。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）完善公开监督保障机制。</w:t>
      </w:r>
      <w:r>
        <w:rPr>
          <w:rFonts w:hint="eastAsia" w:ascii="仿宋_GB2312" w:hAnsi="仿宋_GB2312" w:eastAsia="仿宋_GB2312" w:cs="仿宋_GB2312"/>
          <w:color w:val="auto"/>
          <w:sz w:val="32"/>
          <w:szCs w:val="32"/>
          <w:lang w:eastAsia="zh-CN"/>
        </w:rPr>
        <w:t>建立健全政务公开工作机制，成立以主要领导为组长、分管领导为副组长、各科室（单位）主要负责人为成员的政务公开工作领导小组，</w:t>
      </w:r>
      <w:r>
        <w:rPr>
          <w:rFonts w:hint="eastAsia" w:ascii="仿宋_GB2312" w:hAnsi="仿宋_GB2312" w:eastAsia="仿宋_GB2312" w:cs="仿宋_GB2312"/>
          <w:color w:val="auto"/>
          <w:sz w:val="32"/>
          <w:szCs w:val="32"/>
          <w:lang w:val="en-US" w:eastAsia="zh-CN"/>
        </w:rPr>
        <w:t>并进行</w:t>
      </w:r>
      <w:r>
        <w:rPr>
          <w:rFonts w:hint="eastAsia" w:ascii="仿宋_GB2312" w:hAnsi="仿宋_GB2312" w:eastAsia="仿宋_GB2312" w:cs="仿宋_GB2312"/>
          <w:color w:val="auto"/>
          <w:sz w:val="32"/>
          <w:szCs w:val="32"/>
          <w:lang w:eastAsia="zh-CN"/>
        </w:rPr>
        <w:t>适时调整，明确工作职责，落实专人负责信息公开报送，</w:t>
      </w:r>
      <w:r>
        <w:rPr>
          <w:rFonts w:hint="eastAsia" w:ascii="仿宋_GB2312" w:hAnsi="仿宋_GB2312" w:eastAsia="仿宋_GB2312" w:cs="仿宋_GB2312"/>
          <w:color w:val="auto"/>
          <w:sz w:val="32"/>
          <w:szCs w:val="32"/>
          <w:lang w:val="en-US" w:eastAsia="zh-CN"/>
        </w:rPr>
        <w:t>确保</w:t>
      </w:r>
      <w:r>
        <w:rPr>
          <w:rFonts w:hint="eastAsia" w:ascii="仿宋_GB2312" w:hAnsi="仿宋_GB2312" w:eastAsia="仿宋_GB2312" w:cs="仿宋_GB2312"/>
          <w:color w:val="auto"/>
          <w:sz w:val="32"/>
          <w:szCs w:val="32"/>
          <w:lang w:eastAsia="zh-CN"/>
        </w:rPr>
        <w:t>机构健全、工作衔接、推动有力。认真做好各级检查反馈和自查发现问题的整改工作,对于检查反馈和自查发现的问题及时梳理，对照测评指标严格落实整改，扎实推进政府信息公开工作落到实处。强化学习培训，组织</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eastAsia="zh-CN"/>
        </w:rPr>
        <w:t>政府信息公开培训活动，全面提升</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lang w:eastAsia="zh-CN"/>
        </w:rPr>
        <w:t>作人员政务公开业务能力和责任意识。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18</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113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277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132.55万元</w:t>
            </w:r>
          </w:p>
        </w:tc>
      </w:tr>
    </w:tbl>
    <w:p>
      <w:pPr>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2"/>
        <w:gridCol w:w="540"/>
        <w:gridCol w:w="54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8"/>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2"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5"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2"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5"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146</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6</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8</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97</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5</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16</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26</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2"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142</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rPr>
              <w:t>6</w:t>
            </w:r>
          </w:p>
        </w:tc>
        <w:tc>
          <w:tcPr>
            <w:tcW w:w="54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5</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rPr>
              <w:t>0</w:t>
            </w:r>
          </w:p>
        </w:tc>
        <w:tc>
          <w:tcPr>
            <w:tcW w:w="701" w:type="dxa"/>
            <w:gridSpan w:val="2"/>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154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2"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4</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widowControl/>
              <w:spacing w:line="240" w:lineRule="exact"/>
              <w:jc w:val="center"/>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7</w:t>
            </w:r>
          </w:p>
        </w:tc>
      </w:tr>
    </w:tbl>
    <w:p>
      <w:pPr>
        <w:widowControl/>
        <w:jc w:val="left"/>
        <w:rPr>
          <w:rFonts w:hint="eastAsia" w:ascii="仿宋_GB2312" w:hAnsi="Calibri" w:eastAsia="仿宋_GB2312" w:cs="Calibri"/>
          <w:color w:val="auto"/>
          <w:kern w:val="0"/>
          <w:szCs w:val="21"/>
          <w:lang w:val="en-US" w:eastAsia="zh-CN"/>
        </w:rPr>
      </w:pPr>
    </w:p>
    <w:p>
      <w:pPr>
        <w:rPr>
          <w:rFonts w:ascii="仿宋_GB2312" w:eastAsia="仿宋_GB2312"/>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4</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r>
    </w:tbl>
    <w:p>
      <w:pPr>
        <w:widowControl/>
        <w:jc w:val="left"/>
        <w:rPr>
          <w:rFonts w:hint="eastAsia" w:ascii="仿宋_GB2312" w:hAnsi="Calibri" w:eastAsia="仿宋_GB2312" w:cs="Calibri"/>
          <w:color w:val="FF0000"/>
          <w:kern w:val="0"/>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淄博市自然资源和规划局</w:t>
      </w:r>
      <w:r>
        <w:rPr>
          <w:rFonts w:hint="eastAsia" w:ascii="仿宋_GB2312" w:hAnsi="仿宋_GB2312" w:eastAsia="仿宋_GB2312" w:cs="仿宋_GB2312"/>
          <w:i w:val="0"/>
          <w:caps w:val="0"/>
          <w:color w:val="auto"/>
          <w:spacing w:val="0"/>
          <w:sz w:val="32"/>
          <w:szCs w:val="32"/>
          <w:shd w:val="clear" w:fill="FFFFFF"/>
        </w:rPr>
        <w:t>政府信息公开工作取得了</w:t>
      </w:r>
      <w:r>
        <w:rPr>
          <w:rFonts w:hint="eastAsia" w:ascii="仿宋_GB2312" w:hAnsi="仿宋_GB2312" w:eastAsia="仿宋_GB2312" w:cs="仿宋_GB2312"/>
          <w:i w:val="0"/>
          <w:caps w:val="0"/>
          <w:color w:val="auto"/>
          <w:spacing w:val="0"/>
          <w:sz w:val="32"/>
          <w:szCs w:val="32"/>
          <w:shd w:val="clear" w:fill="FFFFFF"/>
          <w:lang w:val="en-US" w:eastAsia="zh-CN"/>
        </w:rPr>
        <w:t>一定</w:t>
      </w:r>
      <w:r>
        <w:rPr>
          <w:rFonts w:hint="eastAsia" w:ascii="仿宋_GB2312" w:hAnsi="仿宋_GB2312" w:eastAsia="仿宋_GB2312" w:cs="仿宋_GB2312"/>
          <w:i w:val="0"/>
          <w:caps w:val="0"/>
          <w:color w:val="auto"/>
          <w:spacing w:val="0"/>
          <w:sz w:val="32"/>
          <w:szCs w:val="32"/>
          <w:shd w:val="clear" w:fill="FFFFFF"/>
        </w:rPr>
        <w:t>成效，但</w:t>
      </w:r>
      <w:r>
        <w:rPr>
          <w:rFonts w:hint="eastAsia" w:ascii="仿宋_GB2312" w:hAnsi="仿宋_GB2312" w:eastAsia="仿宋_GB2312" w:cs="仿宋_GB2312"/>
          <w:i w:val="0"/>
          <w:caps w:val="0"/>
          <w:color w:val="auto"/>
          <w:spacing w:val="0"/>
          <w:sz w:val="32"/>
          <w:szCs w:val="32"/>
          <w:shd w:val="clear" w:fill="FFFFFF"/>
          <w:lang w:val="en-US" w:eastAsia="zh-CN"/>
        </w:rPr>
        <w:t>仍</w:t>
      </w:r>
      <w:r>
        <w:rPr>
          <w:rFonts w:hint="eastAsia" w:ascii="仿宋_GB2312" w:hAnsi="仿宋_GB2312" w:eastAsia="仿宋_GB2312" w:cs="仿宋_GB2312"/>
          <w:i w:val="0"/>
          <w:caps w:val="0"/>
          <w:color w:val="auto"/>
          <w:spacing w:val="0"/>
          <w:sz w:val="32"/>
          <w:szCs w:val="32"/>
          <w:shd w:val="clear" w:fill="FFFFFF"/>
        </w:rPr>
        <w:t>存在不足：</w:t>
      </w:r>
      <w:r>
        <w:rPr>
          <w:rFonts w:hint="eastAsia" w:ascii="仿宋_GB2312" w:hAnsi="仿宋_GB2312" w:eastAsia="仿宋_GB2312" w:cs="仿宋_GB2312"/>
          <w:b w:val="0"/>
          <w:bCs w:val="0"/>
          <w:i w:val="0"/>
          <w:caps w:val="0"/>
          <w:color w:val="auto"/>
          <w:spacing w:val="0"/>
          <w:sz w:val="32"/>
          <w:szCs w:val="32"/>
          <w:shd w:val="clear" w:fill="FFFFFF"/>
        </w:rPr>
        <w:t>一是</w:t>
      </w:r>
      <w:r>
        <w:rPr>
          <w:rFonts w:hint="eastAsia" w:ascii="仿宋_GB2312" w:hAnsi="仿宋_GB2312" w:eastAsia="仿宋_GB2312" w:cs="仿宋_GB2312"/>
          <w:i w:val="0"/>
          <w:caps w:val="0"/>
          <w:color w:val="auto"/>
          <w:spacing w:val="0"/>
          <w:sz w:val="32"/>
          <w:szCs w:val="32"/>
          <w:shd w:val="clear" w:fill="FFFFFF"/>
        </w:rPr>
        <w:t>本级政策解读和部门文件解读的质量和效果有待提升</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对于文件和政策的制定背景、</w:t>
      </w:r>
      <w:r>
        <w:rPr>
          <w:rFonts w:hint="eastAsia" w:ascii="仿宋_GB2312" w:hAnsi="仿宋_GB2312" w:eastAsia="仿宋_GB2312" w:cs="仿宋_GB2312"/>
          <w:i w:val="0"/>
          <w:caps w:val="0"/>
          <w:color w:val="auto"/>
          <w:spacing w:val="0"/>
          <w:sz w:val="32"/>
          <w:szCs w:val="32"/>
          <w:shd w:val="clear" w:fill="FFFFFF"/>
          <w:lang w:val="en-US" w:eastAsia="zh-CN"/>
        </w:rPr>
        <w:t>研判</w:t>
      </w:r>
      <w:r>
        <w:rPr>
          <w:rFonts w:hint="eastAsia" w:ascii="仿宋_GB2312" w:hAnsi="仿宋_GB2312" w:eastAsia="仿宋_GB2312" w:cs="仿宋_GB2312"/>
          <w:i w:val="0"/>
          <w:caps w:val="0"/>
          <w:color w:val="auto"/>
          <w:spacing w:val="0"/>
          <w:sz w:val="32"/>
          <w:szCs w:val="32"/>
          <w:shd w:val="clear" w:fill="FFFFFF"/>
        </w:rPr>
        <w:t>和起草过程与创新举措等环节分析解读不够</w:t>
      </w:r>
      <w:r>
        <w:rPr>
          <w:rFonts w:hint="eastAsia" w:ascii="仿宋_GB2312" w:hAnsi="仿宋_GB2312" w:eastAsia="仿宋_GB2312" w:cs="仿宋_GB2312"/>
          <w:i w:val="0"/>
          <w:caps w:val="0"/>
          <w:color w:val="auto"/>
          <w:spacing w:val="0"/>
          <w:sz w:val="32"/>
          <w:szCs w:val="32"/>
          <w:shd w:val="clear" w:fill="FFFFFF"/>
          <w:lang w:val="en-US" w:eastAsia="zh-CN"/>
        </w:rPr>
        <w:t>充分</w:t>
      </w:r>
      <w:r>
        <w:rPr>
          <w:rFonts w:hint="eastAsia" w:ascii="仿宋_GB2312" w:hAnsi="仿宋_GB2312" w:eastAsia="仿宋_GB2312" w:cs="仿宋_GB2312"/>
          <w:i w:val="0"/>
          <w:caps w:val="0"/>
          <w:color w:val="auto"/>
          <w:spacing w:val="0"/>
          <w:sz w:val="32"/>
          <w:szCs w:val="32"/>
          <w:shd w:val="clear" w:fill="FFFFFF"/>
        </w:rPr>
        <w:t>，文字解读</w:t>
      </w:r>
      <w:r>
        <w:rPr>
          <w:rFonts w:hint="eastAsia" w:ascii="仿宋_GB2312" w:hAnsi="仿宋_GB2312" w:eastAsia="仿宋_GB2312" w:cs="仿宋_GB2312"/>
          <w:i w:val="0"/>
          <w:caps w:val="0"/>
          <w:color w:val="auto"/>
          <w:spacing w:val="0"/>
          <w:sz w:val="32"/>
          <w:szCs w:val="32"/>
          <w:shd w:val="clear" w:fill="FFFFFF"/>
          <w:lang w:val="en-US" w:eastAsia="zh-CN"/>
        </w:rPr>
        <w:t>较</w:t>
      </w:r>
      <w:r>
        <w:rPr>
          <w:rFonts w:hint="eastAsia" w:ascii="仿宋_GB2312" w:hAnsi="仿宋_GB2312" w:eastAsia="仿宋_GB2312" w:cs="仿宋_GB2312"/>
          <w:i w:val="0"/>
          <w:caps w:val="0"/>
          <w:color w:val="auto"/>
          <w:spacing w:val="0"/>
          <w:sz w:val="32"/>
          <w:szCs w:val="32"/>
          <w:shd w:val="clear" w:fill="FFFFFF"/>
        </w:rPr>
        <w:t>多，图片、视频动漫等解读</w:t>
      </w:r>
      <w:r>
        <w:rPr>
          <w:rFonts w:hint="eastAsia" w:ascii="仿宋_GB2312" w:hAnsi="仿宋_GB2312" w:eastAsia="仿宋_GB2312" w:cs="仿宋_GB2312"/>
          <w:i w:val="0"/>
          <w:caps w:val="0"/>
          <w:color w:val="auto"/>
          <w:spacing w:val="0"/>
          <w:sz w:val="32"/>
          <w:szCs w:val="32"/>
          <w:shd w:val="clear" w:fill="FFFFFF"/>
          <w:lang w:val="en-US" w:eastAsia="zh-CN"/>
        </w:rPr>
        <w:t>较</w:t>
      </w:r>
      <w:r>
        <w:rPr>
          <w:rFonts w:hint="eastAsia" w:ascii="仿宋_GB2312" w:hAnsi="仿宋_GB2312" w:eastAsia="仿宋_GB2312" w:cs="仿宋_GB2312"/>
          <w:i w:val="0"/>
          <w:caps w:val="0"/>
          <w:color w:val="auto"/>
          <w:spacing w:val="0"/>
          <w:sz w:val="32"/>
          <w:szCs w:val="32"/>
          <w:shd w:val="clear" w:fill="FFFFFF"/>
        </w:rPr>
        <w:t>少，信息解读吸引力不够</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二</w:t>
      </w:r>
      <w:r>
        <w:rPr>
          <w:rFonts w:hint="eastAsia" w:ascii="仿宋_GB2312" w:hAnsi="仿宋_GB2312" w:eastAsia="仿宋_GB2312" w:cs="仿宋_GB2312"/>
          <w:b w:val="0"/>
          <w:bCs w:val="0"/>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lang w:val="en-US" w:eastAsia="zh-CN"/>
        </w:rPr>
        <w:t>部分栏目</w:t>
      </w:r>
      <w:r>
        <w:rPr>
          <w:rFonts w:hint="eastAsia" w:ascii="仿宋_GB2312" w:hAnsi="仿宋_GB2312" w:eastAsia="仿宋_GB2312" w:cs="仿宋_GB2312"/>
          <w:i w:val="0"/>
          <w:caps w:val="0"/>
          <w:color w:val="auto"/>
          <w:spacing w:val="0"/>
          <w:sz w:val="32"/>
          <w:szCs w:val="32"/>
          <w:shd w:val="clear" w:fill="FFFFFF"/>
        </w:rPr>
        <w:t>信息公开还不够</w:t>
      </w:r>
      <w:r>
        <w:rPr>
          <w:rFonts w:hint="eastAsia" w:ascii="仿宋_GB2312" w:hAnsi="仿宋_GB2312" w:eastAsia="仿宋_GB2312" w:cs="仿宋_GB2312"/>
          <w:i w:val="0"/>
          <w:caps w:val="0"/>
          <w:color w:val="auto"/>
          <w:spacing w:val="0"/>
          <w:sz w:val="32"/>
          <w:szCs w:val="32"/>
          <w:shd w:val="clear" w:fill="FFFFFF"/>
          <w:lang w:val="en-US" w:eastAsia="zh-CN"/>
        </w:rPr>
        <w:t>及时</w:t>
      </w:r>
      <w:r>
        <w:rPr>
          <w:rFonts w:hint="eastAsia" w:ascii="仿宋_GB2312" w:hAnsi="仿宋_GB2312" w:eastAsia="仿宋_GB2312" w:cs="仿宋_GB2312"/>
          <w:i w:val="0"/>
          <w:caps w:val="0"/>
          <w:color w:val="auto"/>
          <w:spacing w:val="0"/>
          <w:sz w:val="32"/>
          <w:szCs w:val="32"/>
          <w:shd w:val="clear" w:fill="FFFFFF"/>
        </w:rPr>
        <w:t>、全面，主动公开广度、深度有待进一步提升</w:t>
      </w:r>
      <w:r>
        <w:rPr>
          <w:rFonts w:hint="eastAsia" w:ascii="仿宋_GB2312" w:hAnsi="仿宋_GB2312" w:eastAsia="仿宋_GB2312" w:cs="仿宋_GB2312"/>
          <w:i w:val="0"/>
          <w:caps w:val="0"/>
          <w:color w:val="auto"/>
          <w:spacing w:val="0"/>
          <w:sz w:val="32"/>
          <w:szCs w:val="32"/>
          <w:shd w:val="clear" w:fill="FFFFFF"/>
          <w:lang w:eastAsia="zh-CN"/>
        </w:rPr>
        <w:t>。信息发布的水平不一，队伍能力需进一步提高。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仿宋" w:hAnsi="仿宋" w:eastAsia="仿宋" w:cs="仿宋"/>
          <w:i w:val="0"/>
          <w:caps w:val="0"/>
          <w:color w:val="auto"/>
          <w:spacing w:val="0"/>
          <w:sz w:val="25"/>
          <w:szCs w:val="25"/>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改进措施：</w:t>
      </w:r>
      <w:r>
        <w:rPr>
          <w:rFonts w:hint="eastAsia" w:ascii="仿宋_GB2312" w:hAnsi="仿宋_GB2312" w:eastAsia="仿宋_GB2312" w:cs="仿宋_GB2312"/>
          <w:b w:val="0"/>
          <w:bCs w:val="0"/>
          <w:i w:val="0"/>
          <w:caps w:val="0"/>
          <w:color w:val="auto"/>
          <w:spacing w:val="0"/>
          <w:sz w:val="32"/>
          <w:szCs w:val="32"/>
          <w:shd w:val="clear" w:fill="FFFFFF"/>
        </w:rPr>
        <w:t>一</w:t>
      </w:r>
      <w:r>
        <w:rPr>
          <w:rFonts w:hint="eastAsia" w:ascii="仿宋_GB2312" w:hAnsi="仿宋_GB2312" w:eastAsia="仿宋_GB2312" w:cs="仿宋_GB2312"/>
          <w:b w:val="0"/>
          <w:bCs w:val="0"/>
          <w:i w:val="0"/>
          <w:caps w:val="0"/>
          <w:color w:val="auto"/>
          <w:spacing w:val="0"/>
          <w:sz w:val="32"/>
          <w:szCs w:val="32"/>
          <w:shd w:val="clear" w:fill="FFFFFF"/>
          <w:lang w:val="en-US" w:eastAsia="zh-CN"/>
        </w:rPr>
        <w:t>是</w:t>
      </w:r>
      <w:r>
        <w:rPr>
          <w:rFonts w:hint="eastAsia" w:ascii="仿宋_GB2312" w:hAnsi="仿宋_GB2312" w:eastAsia="仿宋_GB2312" w:cs="仿宋_GB2312"/>
          <w:i w:val="0"/>
          <w:caps w:val="0"/>
          <w:color w:val="auto"/>
          <w:spacing w:val="0"/>
          <w:sz w:val="32"/>
          <w:szCs w:val="32"/>
          <w:shd w:val="clear" w:fill="FFFFFF"/>
        </w:rPr>
        <w:t>规范信息发布和政策解读工作机制，综合运用简明问答、图解、视频、动漫更加形象直观的解读方式，对政策文件开展多维度解读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保证政策解读准确性、权威性、时效性。</w:t>
      </w:r>
      <w:r>
        <w:rPr>
          <w:rFonts w:hint="eastAsia" w:ascii="仿宋_GB2312" w:hAnsi="仿宋_GB2312" w:eastAsia="仿宋_GB2312" w:cs="仿宋_GB2312"/>
          <w:b w:val="0"/>
          <w:bCs w:val="0"/>
          <w:i w:val="0"/>
          <w:caps w:val="0"/>
          <w:color w:val="auto"/>
          <w:spacing w:val="0"/>
          <w:sz w:val="32"/>
          <w:szCs w:val="32"/>
          <w:shd w:val="clear" w:fill="FFFFFF"/>
          <w:lang w:val="en-US" w:eastAsia="zh-CN"/>
        </w:rPr>
        <w:t>二</w:t>
      </w:r>
      <w:r>
        <w:rPr>
          <w:rFonts w:hint="eastAsia" w:ascii="仿宋_GB2312" w:hAnsi="仿宋_GB2312" w:eastAsia="仿宋_GB2312" w:cs="仿宋_GB2312"/>
          <w:b w:val="0"/>
          <w:bCs w:val="0"/>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rPr>
        <w:t>不断强化公开意识，</w:t>
      </w:r>
      <w:r>
        <w:rPr>
          <w:rFonts w:hint="eastAsia" w:ascii="仿宋_GB2312" w:hAnsi="仿宋_GB2312" w:eastAsia="仿宋_GB2312" w:cs="仿宋_GB2312"/>
          <w:i w:val="0"/>
          <w:caps w:val="0"/>
          <w:color w:val="auto"/>
          <w:spacing w:val="0"/>
          <w:sz w:val="32"/>
          <w:szCs w:val="32"/>
          <w:shd w:val="clear" w:fill="FFFFFF"/>
          <w:lang w:val="en-US" w:eastAsia="zh-CN"/>
        </w:rPr>
        <w:t>加强</w:t>
      </w:r>
      <w:r>
        <w:rPr>
          <w:rFonts w:hint="eastAsia" w:ascii="仿宋_GB2312" w:hAnsi="仿宋_GB2312" w:eastAsia="仿宋_GB2312" w:cs="仿宋_GB2312"/>
          <w:i w:val="0"/>
          <w:caps w:val="0"/>
          <w:color w:val="auto"/>
          <w:spacing w:val="0"/>
          <w:sz w:val="32"/>
          <w:szCs w:val="32"/>
          <w:shd w:val="clear" w:fill="FFFFFF"/>
        </w:rPr>
        <w:t>政务公开工作培训，提升专业化能力建设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丰富信息公开渠道，围绕群众关心的重点领域，及时发布信息、加强政策解读、回应社会关切，不断提升政府信息公开工作质效。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（一）收取信息处理费情况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（二）落实上级年度政务公开工作要点情况。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一是建立健全政府信息公开协调机制。调整政务公开工作领导小组,印发《</w:t>
      </w:r>
      <w:r>
        <w:rPr>
          <w:rFonts w:hint="default" w:ascii="仿宋_GB2312" w:hAnsi="仿宋_GB2312" w:eastAsia="仿宋_GB2312" w:cs="仿宋_GB2312"/>
          <w:i w:val="0"/>
          <w:caps w:val="0"/>
          <w:color w:val="auto"/>
          <w:spacing w:val="0"/>
          <w:kern w:val="0"/>
          <w:sz w:val="32"/>
          <w:szCs w:val="32"/>
          <w:shd w:val="clear" w:fill="FFFFFF"/>
          <w:lang w:val="en-US" w:eastAsia="zh-CN" w:bidi="ar"/>
        </w:rPr>
        <w:t>淄博市自然资源和规划局政务公开工作方案</w:t>
      </w:r>
      <w:r>
        <w:rPr>
          <w:rFonts w:hint="eastAsia" w:ascii="仿宋_GB2312" w:hAnsi="仿宋_GB2312" w:eastAsia="仿宋_GB2312" w:cs="仿宋_GB2312"/>
          <w:i w:val="0"/>
          <w:caps w:val="0"/>
          <w:color w:val="auto"/>
          <w:spacing w:val="0"/>
          <w:kern w:val="0"/>
          <w:sz w:val="32"/>
          <w:szCs w:val="32"/>
          <w:shd w:val="clear" w:fill="FFFFFF"/>
          <w:lang w:val="en-US" w:eastAsia="zh-CN" w:bidi="ar"/>
        </w:rPr>
        <w:t>》，更新《淄博市自然资源和规划局政务公开基本目录》，形成重点工作任务分解表，进一步明确责任分工，督促责任科室（单位）按照工作职责开展政务信息公开工作，履行政府信息公开职责。对标市政府年度政务公开重点工作压实责任，及时根据市政务公开办反馈的问题逐项整改销号，持续提升政府信息公开工作的规范化水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是深化重点领域信息公开。以重大政策措施落实和自然资源中心工作为重点，做好征地信息公开、重大建设项目批准与实施、国有建设用地使用权出让、土地市场信息、地质灾害预警预报等重点领域政府信息公开工作，满足群众和市场主体对政府信息的需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是提升依申请公开服务能力。认真履行《中华人民共和国政府信息公开条例》依申请信息公开职责，按照“公开为常态，不公开为例外”的原则，依法合理提供公开信息，保证申请人的知情权。梳理依申请公开各办理环节工作，形成工作闭环，注重答复质量，强化科室间协调沟通，完善内部审查机制，做到答复内容合法有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（三）人大代表建议和政协提案办理结果公开情况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2023年，淄博市自然资源和规划局共承办代表建议和政协提案18件，其中市人大代表建议12件、市政协委员提案6件，主办件4件，分办件3件，协（会）办件11件，承办的人大建议和政协提案已全部办结，办结率、面复率和办理满意率均为100％。</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（四）政务公开工作创新实践情况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是加强政策解读，创新解读形式。2023年，淄博市自然资源和规划局制定《政务公开实施方案》，明确“谁起草，谁解读”，由办公室和政策法规科牵头负责，对政策性文件全面解读，做到“解读起草阶段随文件同步起草，审查阶段同文件同步审查、印发阶段解读随文件同步出台、公示阶段随文件同步公开”的全生命周期管理。同时提高政务公开工作人员技能水平，学习制作图片解读、动漫解读及H5解读，提高解读可视化同时确保解读质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lang w:val="en-US" w:eastAsia="zh-CN"/>
        </w:rPr>
        <w:t>二是开通便民功能，提升服务水平。</w:t>
      </w:r>
      <w:r>
        <w:rPr>
          <w:rFonts w:hint="eastAsia" w:ascii="仿宋_GB2312" w:hAnsi="仿宋_GB2312" w:eastAsia="仿宋_GB2312" w:cs="仿宋_GB2312"/>
          <w:i w:val="0"/>
          <w:caps w:val="0"/>
          <w:color w:val="auto"/>
          <w:spacing w:val="0"/>
          <w:kern w:val="0"/>
          <w:sz w:val="32"/>
          <w:szCs w:val="32"/>
          <w:shd w:val="clear" w:fill="FFFFFF"/>
          <w:lang w:val="en-US" w:eastAsia="zh-CN" w:bidi="ar"/>
        </w:rPr>
        <w:t>在网站和微信公众号增设“以图查房”系统入口，系统包含地图浏览定位、不动产登记信息查询、宗地图和房屋分户图查询下载等功能，即任何人可通过地图定位或房屋坐落查询不动产的自然属性和限制信息，提供“24小时不打烊”网上查询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淄博市自然资源和规划局  </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2024年1月29日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380" w:firstLineChars="200"/>
        <w:textAlignment w:val="auto"/>
        <w:rPr>
          <w:rFonts w:hint="default" w:ascii="微软雅黑" w:hAnsi="微软雅黑" w:eastAsia="微软雅黑" w:cs="微软雅黑"/>
          <w:i w:val="0"/>
          <w:iCs w:val="0"/>
          <w:caps w:val="0"/>
          <w:color w:val="auto"/>
          <w:spacing w:val="0"/>
          <w:sz w:val="19"/>
          <w:szCs w:val="19"/>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i w:val="0"/>
          <w:caps w:val="0"/>
          <w:color w:val="auto"/>
          <w:spacing w:val="0"/>
          <w:kern w:val="2"/>
          <w:sz w:val="28"/>
          <w:szCs w:val="28"/>
          <w:shd w:val="clear" w:fill="FFFFFF"/>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auto"/>
                            </w:rPr>
                          </w:pP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color w:val="auto"/>
                      </w:rPr>
                    </w:pP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C0128"/>
    <w:multiLevelType w:val="singleLevel"/>
    <w:tmpl w:val="B55C01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TdmMzZlZTE1YzFhMGFjODFhZjFkMzE4YWE2NzEifQ=="/>
    <w:docVar w:name="KSO_WPS_MARK_KEY" w:val="81957d31-57bf-4210-bf08-0ac4b645c318"/>
  </w:docVars>
  <w:rsids>
    <w:rsidRoot w:val="11AF18C8"/>
    <w:rsid w:val="05746170"/>
    <w:rsid w:val="081E6C66"/>
    <w:rsid w:val="0C756FBE"/>
    <w:rsid w:val="0D4D54AE"/>
    <w:rsid w:val="0D72249E"/>
    <w:rsid w:val="10035566"/>
    <w:rsid w:val="10146D3E"/>
    <w:rsid w:val="11AF18C8"/>
    <w:rsid w:val="12D336A7"/>
    <w:rsid w:val="141D2158"/>
    <w:rsid w:val="14A02B65"/>
    <w:rsid w:val="165E0AF0"/>
    <w:rsid w:val="1A65508C"/>
    <w:rsid w:val="1A6A77C7"/>
    <w:rsid w:val="1A8379B7"/>
    <w:rsid w:val="1D3E517C"/>
    <w:rsid w:val="1F97332B"/>
    <w:rsid w:val="1FA55C42"/>
    <w:rsid w:val="225A4B6F"/>
    <w:rsid w:val="234E1207"/>
    <w:rsid w:val="2831245C"/>
    <w:rsid w:val="2F6F1AFF"/>
    <w:rsid w:val="2FC93E08"/>
    <w:rsid w:val="3B7F24D9"/>
    <w:rsid w:val="3C7E7E4E"/>
    <w:rsid w:val="3E535CE3"/>
    <w:rsid w:val="409F6D15"/>
    <w:rsid w:val="48553C61"/>
    <w:rsid w:val="4CA9626E"/>
    <w:rsid w:val="543C4CF7"/>
    <w:rsid w:val="54BD75DE"/>
    <w:rsid w:val="5CBD4928"/>
    <w:rsid w:val="640A5F1B"/>
    <w:rsid w:val="645F063B"/>
    <w:rsid w:val="6FAC3CC5"/>
    <w:rsid w:val="70031C1B"/>
    <w:rsid w:val="717C3942"/>
    <w:rsid w:val="74DC48C7"/>
    <w:rsid w:val="75F70A3F"/>
    <w:rsid w:val="76BD03B2"/>
    <w:rsid w:val="77181135"/>
    <w:rsid w:val="7B2F1B48"/>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3774</Words>
  <Characters>3943</Characters>
  <Lines>0</Lines>
  <Paragraphs>0</Paragraphs>
  <TotalTime>36</TotalTime>
  <ScaleCrop>false</ScaleCrop>
  <LinksUpToDate>false</LinksUpToDate>
  <CharactersWithSpaces>3951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Administrator</cp:lastModifiedBy>
  <cp:lastPrinted>2023-01-18T09:08:00Z</cp:lastPrinted>
  <dcterms:modified xsi:type="dcterms:W3CDTF">2024-01-29T02:13:07Z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3466DF07F79249B48D0A5109F2FE565C_13</vt:lpwstr>
  </property>
</Properties>
</file>