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4441190" cy="4989195"/>
                <wp:effectExtent l="0" t="0" r="16510" b="19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9680" y="1903730"/>
                          <a:ext cx="4441190" cy="498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</w:rPr>
                              <w:t>淄博市自然资源</w:t>
                            </w: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和规划</w:t>
                            </w: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</w:rPr>
                              <w:t>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淄博市发展和改革委员会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淄博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市教育局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淄博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市财政局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</w:rPr>
                              <w:t>淄博市</w:t>
                            </w: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住房和城乡建设局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淄博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市交通运输局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淄博市水利局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淄博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市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文化和旅游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</w:rPr>
                              <w:t>淄博市</w:t>
                            </w: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应急管理局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淄博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市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气象</w:t>
                            </w: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8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jc w:val="distribute"/>
                              <w:textAlignment w:val="auto"/>
                              <w:rPr>
                                <w:spacing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default" w:ascii="方正小标宋简体" w:eastAsia="方正小标宋简体" w:cs="Times New Roman"/>
                                <w:bCs/>
                                <w:color w:val="FF0000"/>
                                <w:spacing w:val="0"/>
                                <w:w w:val="50"/>
                                <w:kern w:val="0"/>
                                <w:sz w:val="64"/>
                                <w:szCs w:val="64"/>
                                <w:lang w:val="en-US" w:eastAsia="zh-CN"/>
                              </w:rPr>
                              <w:t>中国铁路济南局集团有限公司淄博工务段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pt;margin-top:1.95pt;height:392.85pt;width:349.7pt;z-index:251662336;mso-width-relative:page;mso-height-relative:page;" fillcolor="#FFFFFF [3201]" filled="t" stroked="f" coordsize="21600,21600" o:gfxdata="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GBXNdQA&#10;AAAIAQAADwAAAAAAAAABACAAAAAiAAAAZHJzL2Rvd25yZXYueG1sUEsBAhQAFAAAAAgAh07iQCrO&#10;dnVcAgAAn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</w:rPr>
                        <w:t>淄博市自然资源</w:t>
                      </w: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和规划</w:t>
                      </w: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</w:rPr>
                        <w:t>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淄博市发展和改革委员会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淄博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市教育局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淄博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市财政局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</w:rPr>
                        <w:t>淄博市</w:t>
                      </w: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住房和城乡建设局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淄博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市交通运输局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淄博市水利局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eastAsia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淄博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市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文化和旅游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</w:rPr>
                        <w:t>淄博市</w:t>
                      </w: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应急管理局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淄博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市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eastAsia="zh-CN"/>
                        </w:rPr>
                        <w:t>气象</w:t>
                      </w: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80"/>
                          <w:kern w:val="0"/>
                          <w:sz w:val="64"/>
                          <w:szCs w:val="64"/>
                          <w:lang w:val="en-US" w:eastAsia="zh-CN"/>
                        </w:rPr>
                        <w:t>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jc w:val="distribute"/>
                        <w:textAlignment w:val="auto"/>
                        <w:rPr>
                          <w:spacing w:val="0"/>
                          <w:sz w:val="64"/>
                          <w:szCs w:val="64"/>
                        </w:rPr>
                      </w:pPr>
                      <w:r>
                        <w:rPr>
                          <w:rFonts w:hint="default" w:ascii="方正小标宋简体" w:eastAsia="方正小标宋简体" w:cs="Times New Roman"/>
                          <w:bCs/>
                          <w:color w:val="FF0000"/>
                          <w:spacing w:val="0"/>
                          <w:w w:val="50"/>
                          <w:kern w:val="0"/>
                          <w:sz w:val="64"/>
                          <w:szCs w:val="64"/>
                          <w:lang w:val="en-US" w:eastAsia="zh-CN"/>
                        </w:rPr>
                        <w:t>中国铁路济南局集团有限公司淄博工务段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000" w:lineRule="exact"/>
        <w:rPr>
          <w:rFonts w:hint="default" w:ascii="Times New Roman" w:hAnsi="Times New Roman" w:eastAsia="方正小标宋简体" w:cs="Times New Roman"/>
          <w:bCs/>
          <w:color w:val="FF0000"/>
          <w:spacing w:val="11"/>
          <w:w w:val="80"/>
          <w:kern w:val="0"/>
          <w:sz w:val="72"/>
        </w:rPr>
      </w:pPr>
    </w:p>
    <w:p>
      <w:pPr>
        <w:spacing w:line="1000" w:lineRule="exact"/>
        <w:rPr>
          <w:rFonts w:hint="default" w:ascii="Times New Roman" w:hAnsi="Times New Roman" w:eastAsia="方正小标宋简体" w:cs="Times New Roman"/>
          <w:bCs/>
          <w:color w:val="FF0000"/>
          <w:spacing w:val="10"/>
          <w:w w:val="80"/>
          <w:kern w:val="0"/>
          <w:sz w:val="72"/>
          <w:lang w:eastAsia="zh-CN"/>
        </w:rPr>
      </w:pPr>
    </w:p>
    <w:p>
      <w:pPr>
        <w:spacing w:line="1000" w:lineRule="exact"/>
        <w:rPr>
          <w:rFonts w:hint="default" w:ascii="Times New Roman" w:hAnsi="Times New Roman" w:eastAsia="方正小标宋简体" w:cs="Times New Roman"/>
          <w:bCs/>
          <w:color w:val="FF0000"/>
          <w:spacing w:val="10"/>
          <w:w w:val="80"/>
          <w:kern w:val="0"/>
          <w:sz w:val="72"/>
          <w:lang w:val="en-US" w:eastAsia="zh-CN"/>
        </w:rPr>
      </w:pPr>
      <w:r>
        <w:rPr>
          <w:rFonts w:hint="default" w:ascii="Times New Roman" w:hAnsi="Times New Roman" w:cs="Times New Roman"/>
          <w:spacing w:val="11"/>
          <w:w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476250</wp:posOffset>
                </wp:positionV>
                <wp:extent cx="1294765" cy="972185"/>
                <wp:effectExtent l="0" t="0" r="635" b="18415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400" w:lineRule="exact"/>
                              <w:rPr>
                                <w:rFonts w:ascii="方正小标宋简体" w:eastAsia="方正小标宋简体"/>
                                <w:bCs/>
                                <w:color w:val="FF0000"/>
                                <w:w w:val="65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color w:val="FF0000"/>
                                <w:w w:val="65"/>
                                <w:sz w:val="130"/>
                                <w:szCs w:val="13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pt;margin-top:37.5pt;height:76.55pt;width:101.95pt;z-index:251660288;mso-width-relative:page;mso-height-relative:page;" fillcolor="#FFFFFF" filled="t" stroked="f" coordsize="21600,21600" o:gfxdata="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4wA0nYAAAACgEAAA8AAAAAAAAAAQAgAAAAIgAAAGRycy9kb3ducmV2Lnht&#10;bFBLAQIUABQAAAAIAIdO4kDCSVXf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400" w:lineRule="exact"/>
                        <w:rPr>
                          <w:rFonts w:ascii="方正小标宋简体" w:eastAsia="方正小标宋简体"/>
                          <w:bCs/>
                          <w:color w:val="FF0000"/>
                          <w:w w:val="65"/>
                          <w:sz w:val="130"/>
                          <w:szCs w:val="13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Cs/>
                          <w:color w:val="FF0000"/>
                          <w:w w:val="65"/>
                          <w:sz w:val="130"/>
                          <w:szCs w:val="13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000" w:lineRule="exact"/>
        <w:rPr>
          <w:rFonts w:hint="default" w:ascii="Times New Roman" w:hAnsi="Times New Roman" w:eastAsia="方正小标宋简体" w:cs="Times New Roman"/>
          <w:bCs/>
          <w:color w:val="FF0000"/>
          <w:spacing w:val="10"/>
          <w:w w:val="80"/>
          <w:kern w:val="0"/>
          <w:sz w:val="72"/>
          <w:lang w:val="en-US" w:eastAsia="zh-CN"/>
        </w:rPr>
      </w:pPr>
    </w:p>
    <w:p>
      <w:pPr>
        <w:spacing w:line="1000" w:lineRule="exact"/>
        <w:rPr>
          <w:rFonts w:hint="default" w:ascii="Times New Roman" w:hAnsi="Times New Roman" w:eastAsia="方正小标宋简体" w:cs="Times New Roman"/>
          <w:bCs/>
          <w:color w:val="FF0000"/>
          <w:spacing w:val="10"/>
          <w:w w:val="80"/>
          <w:kern w:val="0"/>
          <w:sz w:val="72"/>
          <w:lang w:eastAsia="zh-CN"/>
        </w:rPr>
      </w:pPr>
    </w:p>
    <w:p>
      <w:pPr>
        <w:spacing w:line="1000" w:lineRule="exact"/>
        <w:rPr>
          <w:rFonts w:hint="default" w:ascii="Times New Roman" w:hAnsi="Times New Roman" w:eastAsia="方正小标宋简体" w:cs="Times New Roman"/>
          <w:bCs/>
          <w:color w:val="FF0000"/>
          <w:spacing w:val="136"/>
          <w:w w:val="80"/>
          <w:kern w:val="0"/>
          <w:sz w:val="72"/>
          <w:lang w:val="en-US" w:eastAsia="zh-CN"/>
        </w:rPr>
      </w:pPr>
    </w:p>
    <w:p>
      <w:pPr>
        <w:spacing w:line="1000" w:lineRule="exact"/>
        <w:rPr>
          <w:rFonts w:hint="default" w:ascii="Times New Roman" w:hAnsi="Times New Roman" w:eastAsia="方正小标宋简体" w:cs="Times New Roman"/>
          <w:bCs/>
          <w:color w:val="FF0000"/>
          <w:spacing w:val="136"/>
          <w:w w:val="80"/>
          <w:kern w:val="0"/>
          <w:sz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color w:val="FF0000"/>
          <w:spacing w:val="136"/>
          <w:w w:val="80"/>
          <w:kern w:val="0"/>
          <w:sz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</w:rPr>
      </w:pPr>
    </w:p>
    <w:p>
      <w:pPr>
        <w:spacing w:line="540" w:lineRule="exact"/>
        <w:ind w:left="0" w:leftChars="0" w:right="25" w:rightChars="12"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12700" r="3810" b="1587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9pt;margin-top:3.9pt;height:0pt;width:442.2pt;z-index:251661312;mso-width-relative:page;mso-height-relative:page;" filled="f" stroked="t" coordsize="21600,21600" o:gfxdata="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vj9wtQA&#10;AAAHAQAADwAAAAAAAAABACAAAAAiAAAAZHJzL2Rvd25yZXYueG1sUEsBAhQAFAAAAAgAh07iQLhf&#10;s/LqAQAA3A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6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淄博市自然资源和规划局等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11部门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eastAsia="zh-CN"/>
        </w:rPr>
        <w:t>关于印发《淄博市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2025年地质灾害防治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方案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各区县人民政府，高新区、经济开发区、文昌湖区管委会，市政府有关部门，有关单位：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《淄博市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2025年地质灾害防治方案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》已经市政府同意，现印发给你们，请结合实际认真组织实施。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w w:val="8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>市自然资源和规划局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淄博市发展和改革委员会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 xml:space="preserve">市教育局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市财政局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市住房和城乡建设局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市交通运输局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 xml:space="preserve">市水利局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>文化和旅游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局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市应急管理局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淄博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eastAsia="zh-CN"/>
        </w:rPr>
        <w:t>气象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局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3432" w:firstLineChars="1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中国铁路济南局集团有限公司淄博工务段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 xml:space="preserve">   2025年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（此件公开发布）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淄博市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年地质灾害防治方案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为有效防范化解重大地质灾害风险，保障人民群众生命财产安全，切实做好2025年全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地质灾害防治工作，根据《地质灾害防治条例》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《山东省2025年地质灾害防治方案》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等有关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结合我市实际，制定本方案。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bookmarkStart w:id="0" w:name="body_0"/>
      <w:bookmarkEnd w:id="0"/>
      <w:bookmarkStart w:id="1" w:name="body_0_0"/>
      <w:bookmarkEnd w:id="1"/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-5471795</wp:posOffset>
                </wp:positionV>
                <wp:extent cx="571500" cy="3644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pt;margin-top:-430.85pt;height:28.7pt;width:45pt;z-index:251665408;mso-width-relative:page;mso-height-relative:page;" filled="f" stroked="f" coordsize="21600,21600" o:gfxdata="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37wlLZAAAADwEAAA8AAAAAAAAAAQAgAAAAIgAAAGRycy9kb3ducmV2LnhtbFBLAQIU&#10;ABQAAAAIAIdO4kBtB2C88gEAAMYDAAAOAAAAAAAAAAEAIAAAACgBAABkcnMvZTJvRG9jLnhtbFBL&#10;BQYAAAAABgAGAFkBAAC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6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-5471795</wp:posOffset>
                </wp:positionV>
                <wp:extent cx="571500" cy="3644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pt;margin-top:-430.85pt;height:28.7pt;width:45pt;z-index:251664384;mso-width-relative:page;mso-height-relative:page;" filled="f" stroked="f" coordsize="21600,21600" o:gfxdata="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37wlLZAAAADwEAAA8AAAAAAAAAAQAgAAAAIgAAAGRycy9kb3ducmV2LnhtbFBLAQIU&#10;ABQAAAAIAIdO4kAFZ8uo8gEAAMYDAAAOAAAAAAAAAAEAIAAAACgBAABkcnMvZTJvRG9jLnhtbFBL&#10;BQYAAAAABgAGAFkBAAC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6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-5471795</wp:posOffset>
                </wp:positionV>
                <wp:extent cx="571500" cy="3644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pt;margin-top:-430.85pt;height:28.7pt;width:45pt;z-index:251663360;mso-width-relative:page;mso-height-relative:page;" filled="f" stroked="f" coordsize="21600,21600" o:gfxdata="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37wlLZAAAADwEAAA8AAAAAAAAAAQAgAAAAIgAAAGRycy9kb3ducmV2LnhtbFBLAQIU&#10;ABQAAAAIAIdO4kBdRcBi8gEAAMYDAAAOAAAAAAAAAAEAIAAAACgBAABkcnMvZTJvRG9jLnhtbFBL&#10;BQYAAAAABgAGAFkBAAC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6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Toc99855878"/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w:t>一、2024年地质灾害</w:t>
      </w:r>
      <w:bookmarkEnd w:id="2"/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w:t>防治工作情况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地质灾害隐患基本情况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按照《山东省地质灾害隐患点认定与核销管理办法》规定，2024年全市核销地质灾害隐患点1处，无新增地质灾害隐患点。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截至2024年年底，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全市有突发性地质灾害隐患点96处。按照灾害类型划分，崩塌51处、占53.13%，滑坡17处、占17.71%，泥石流2处、占2.08%，采空塌陷26处、占27.08%；按照规模等级划分，中型6处、占6.25%，小型90处、占93.75%；按照区域划分，淄川区33处，博山区18处，周村区6处，临淄区3处，沂源县33处，高新区2处，文昌湖省级旅游度假区1处。全市有缓变性地质灾害1处，为地面沉降，主要发生在桓台县西北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地质灾害发生情况。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2024年全市共出现11次较为明显降水过程、1次台风影响，全市平均降水770.2毫米，较常年（602.5毫米）偏多27.8%。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全市发生地质灾害险情1起，未造成人员伤亡和财产损失，地质灾害防治形势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总体平稳。1起险情为：3月12日博山区山头街道樵岭前村崩塌地质灾害隐患点发生崩塌落石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（三）防治工作开展情况。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组织开展地质灾害风险隐患排查。全市共派出检查组161组（次）、350人（次），排查地质灾害隐患556处（次），核销隐患点1处。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加强地质灾害气象风险预警发布和临灾避险转移。发布市级地质灾害橙色预警信息1条，黄色预警信息8条，累计接收3474人（次），紧急避险转移安置受威胁群众48户、92人。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提升“技防”水平。争取地质灾害综合防治体系建设工程国债资金1278万元，组织实施山东省地面沉降监测网建设项目（淄博市）。配合省自然资源厅在我市18处地质灾害隐患安装各类监测设备121台套，扩大自动化监测范围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建立“一点一码”制度。为全市97处地质灾害隐患点赋予风险码，推行地质灾害防治“吹哨人”制度，全力做好预报预警和临灾避险。五是加大科普宣传力度。联合省国土空间生态修复中心，建成全省首个地质灾害防治科普基地，基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集科普展览、互动体验、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科研监测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于一体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，旨在提高全民防灾减灾意识，提升广大群众的避险能力。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开馆以来，累计参观人数达9900余人次。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w:t>二、2025年地质灾害防治形势预测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据气象部门预测，今年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汛期降雨较常年偏多，台风北上影响可能性较大，气候不确定性增强，地质灾害防治形势严峻，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灾害类型仍以崩塌、滑坡、泥石流、采空塌陷为主，灾害规模多为中小型。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（一）崩塌、滑坡和泥石流趋势预测。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主要分布在淄川区、博山区、沂源县一带，包括淄川区太河镇、西河镇、寨里镇、昆仑镇、岭子镇，博山城区西部山区、博山镇、源泉镇、池上镇，沂源县东南部的燕崖—中庄—西里—东里—张家坡一带。主要发生在汛期，其中7月至8月降水相对集中，发生地质灾害的概率较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（二）采空塌陷趋势预测。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采空塌陷主要分布在淄川区罗村镇、寨里镇、西河镇、龙泉镇、岭子镇，博山区白塔镇，周村区王村镇，沂源县鲁村镇，高新区高端装备中心金岭铁矿区，文昌湖省级旅游度假区商家镇等。上述地区由于历史地下采矿活动较多，采空塌陷过去曾有发生，受地下水位涨落等因素的影响，仍有发生的可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w:t>三、2025年地质灾害防治主要任务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强化地质灾害风险隐患排查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以县域为单元做好地质灾害隐患点和风险区更新调查，进一步摸清地质灾害风险隐患底数。二是相关部门分领域做好地质灾害隐患排查，对确认的地质灾害隐患及时建档入库，落实管控措施。三是落实汛前排查、汛中巡查、汛后核查制度，持续做好地质灾害“三查”工作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四是高质量实施山东省地面沉降监测网建设项目（淄博市），做好地面沉降监测网的运行管理和维护，为地面沉降防控提供准确可靠的监测数据。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市自然资源和规划局牵头，市有关部门单位按职责分工负责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强化重点领域风险隐患防治。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加强威胁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各级各类学校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教育机构地质灾害隐患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排查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、治理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市教育局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牵头）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二是加强城市、乡村房屋建筑和市政工程施工可能引发地质灾害隐患的排查、治理。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（市住房城乡建设局牵头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在建及投入运营的公路、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铁路、水运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施工现场周边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地质灾害隐患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排查、治理。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市交通运输局、国铁济南局淄博工务段等按职责分工负责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加强威胁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油气管道、水库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枢纽及近坝库岸、施工营地及工程区地质灾害隐患的排查、治理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市发展改革委、市水利局等按职责分工负责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矿山企业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尾矿库区域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地质灾害隐患的排查、治理。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市应急局牵头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加强各类自然保护地、A级旅游景区、等级旅游民宿地质灾害隐患的排查、治理。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市自然资源和规划局、市文化和旅游局等按职责分工负责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巩固群测群防体系建设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用好省级地质灾害自动化监测网，进一步完善淄博市地质灾害监测预警系统，优化告警阈值，提升预警精度，发挥“技防”作用。加强“人防”队伍建设，充分发挥驻淄地勘队伍专业优势，及时做好调查监测、风险研判和临灾处置，落实防范措施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深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入开展地质灾害防治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宣传培训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，加强各级地质灾害防治管理人员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、专业技术队伍、群测群防员培训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提升防灾减灾意识，筑牢地质灾害防线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。充分依托山东省地质灾害防治科普基地，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地质灾害防治科普宣传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强化全社会防灾减灾意识，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组织区县开展应急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napToGrid w:val="0"/>
          <w:color w:val="auto"/>
          <w:kern w:val="0"/>
          <w:sz w:val="32"/>
          <w:szCs w:val="32"/>
        </w:rPr>
        <w:t>避险演练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提高各级队伍应急处置快速反应能力。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市自然资源和规划局牵头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做好地质灾害隐患分类管理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对确需治理的地质灾害隐患点，要尽快组织实施综合治理或排危除险；对暂不能开展工程治理的地质灾害隐患点，要采取群测群防、监测巡查等措施，避免或降低灾害风险；对经调查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确认，满足销号条件的隐患点，要及时按程序销号。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市自然资源和规划局牵头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强化应急救援技术支撑能力。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一是提升地质灾害应急救援水平。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完善地质灾害应急防范和技术支撑响应预案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突发地质灾害应急演练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规范响应级别，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职责分工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，提高应急处置快速反应能力和临灾避险能力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遇有突发情况及时调集应急队伍、救援物资，做好应急处置。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市应急局、市自然资源和规划局按职责分工负责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应急救援技术支撑队伍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能力建设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配齐配全地质灾害应急救援技术支撑装备。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市自然资源和规划局牵头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做好地质灾害预警预报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。强降雨期间开展市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县分级预警和短临预警，做好地质灾害气象风险预警会商和预警信息发布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，提高预警预报的准确性和时效性。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市自然资源和规划局、市气象局按职责分工负责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汛期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地质灾害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24小时值班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灾情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险情报告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制度，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确保信息及时上传下达，险情灾情高效处置。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市自然资源和规划局、市应急局按职责分工负责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</w:rPr>
        <w:t>四、保障措施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各级各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要切实提高政治站位，坚持以人民为中心的发展思想，践行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人民至上、生命至上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理念，坚持属地管理、分级负责的原则，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各级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政府牵头抓总，有关部门各负其责，自然资源主管部门加强组织协调和监督指导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，形成工作合力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。各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要在汛期前对地质灾害防治工作作出全面部署，明确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任务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并抓好贯彻落实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。对自然因素、历史遗留等原因形成的地质灾害隐患，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属地政府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是防治责任主体，要采取监测预警、工程治理、搬迁避让等措施积极防治；对因工程建设等人为活动形成的地质灾害隐患，按照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谁引发、谁治理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的原则，各相关部门督促有关责任主体落实防治责任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要按照财政事权与支出责任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相适应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原则，将地质灾害防治资金纳入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同级财政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预算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</w:rPr>
        <w:t>保障地质灾害防治各项工作顺利开展。</w:t>
      </w: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15"/>
        <w:tblpPr w:leftFromText="180" w:rightFromText="180" w:horzAnchor="margin" w:tblpYSpec="bottom"/>
        <w:tblOverlap w:val="never"/>
        <w:tblW w:w="8860" w:type="dxa"/>
        <w:tblInd w:w="0" w:type="dxa"/>
        <w:tblBorders>
          <w:top w:val="single" w:color="auto" w:sz="8" w:space="0"/>
          <w:left w:val="none" w:color="auto" w:sz="4" w:space="0"/>
          <w:bottom w:val="single" w:color="auto" w:sz="8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8" w:space="0"/>
            <w:left w:val="none" w:color="auto" w:sz="4" w:space="0"/>
            <w:bottom w:val="single" w:color="auto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210" w:rightChars="1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淄博市自然资源和规划局办公室   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440" w:left="1587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29"/>
    <w:rsid w:val="00001B44"/>
    <w:rsid w:val="000028BA"/>
    <w:rsid w:val="00002988"/>
    <w:rsid w:val="00010EF1"/>
    <w:rsid w:val="00012915"/>
    <w:rsid w:val="00012DF4"/>
    <w:rsid w:val="00014015"/>
    <w:rsid w:val="000156B1"/>
    <w:rsid w:val="000208D2"/>
    <w:rsid w:val="0002480D"/>
    <w:rsid w:val="00030462"/>
    <w:rsid w:val="000324D2"/>
    <w:rsid w:val="000325CF"/>
    <w:rsid w:val="00033444"/>
    <w:rsid w:val="00033902"/>
    <w:rsid w:val="00036216"/>
    <w:rsid w:val="000552BC"/>
    <w:rsid w:val="00055F88"/>
    <w:rsid w:val="00060888"/>
    <w:rsid w:val="000610D4"/>
    <w:rsid w:val="000619F2"/>
    <w:rsid w:val="00063DA2"/>
    <w:rsid w:val="00065944"/>
    <w:rsid w:val="000670EC"/>
    <w:rsid w:val="00067FC0"/>
    <w:rsid w:val="000828BF"/>
    <w:rsid w:val="00086011"/>
    <w:rsid w:val="000905A4"/>
    <w:rsid w:val="0009101F"/>
    <w:rsid w:val="0009172B"/>
    <w:rsid w:val="00093A85"/>
    <w:rsid w:val="00097A1C"/>
    <w:rsid w:val="000A190F"/>
    <w:rsid w:val="000A2532"/>
    <w:rsid w:val="000A267F"/>
    <w:rsid w:val="000A2FBA"/>
    <w:rsid w:val="000A52E9"/>
    <w:rsid w:val="000A5A89"/>
    <w:rsid w:val="000A5E87"/>
    <w:rsid w:val="000B3D0E"/>
    <w:rsid w:val="000B4985"/>
    <w:rsid w:val="000B646D"/>
    <w:rsid w:val="000B7DA7"/>
    <w:rsid w:val="000B7F14"/>
    <w:rsid w:val="000C3A64"/>
    <w:rsid w:val="000C575D"/>
    <w:rsid w:val="000C73C5"/>
    <w:rsid w:val="000D19D0"/>
    <w:rsid w:val="000D380B"/>
    <w:rsid w:val="000D48CB"/>
    <w:rsid w:val="000D4AD5"/>
    <w:rsid w:val="000D7F66"/>
    <w:rsid w:val="000E4298"/>
    <w:rsid w:val="000E5634"/>
    <w:rsid w:val="000F03F6"/>
    <w:rsid w:val="000F0B09"/>
    <w:rsid w:val="000F16A1"/>
    <w:rsid w:val="000F1D70"/>
    <w:rsid w:val="000F2BFB"/>
    <w:rsid w:val="000F2F20"/>
    <w:rsid w:val="000F3B8C"/>
    <w:rsid w:val="000F3BB8"/>
    <w:rsid w:val="000F76F5"/>
    <w:rsid w:val="001046FB"/>
    <w:rsid w:val="00105478"/>
    <w:rsid w:val="0010564B"/>
    <w:rsid w:val="001114FA"/>
    <w:rsid w:val="00111877"/>
    <w:rsid w:val="00114B5D"/>
    <w:rsid w:val="00122200"/>
    <w:rsid w:val="00122ADD"/>
    <w:rsid w:val="00122D11"/>
    <w:rsid w:val="00123970"/>
    <w:rsid w:val="00125434"/>
    <w:rsid w:val="0012581A"/>
    <w:rsid w:val="00127FF0"/>
    <w:rsid w:val="00133101"/>
    <w:rsid w:val="00134154"/>
    <w:rsid w:val="00134820"/>
    <w:rsid w:val="00135C51"/>
    <w:rsid w:val="0014196B"/>
    <w:rsid w:val="00142D6D"/>
    <w:rsid w:val="001466B3"/>
    <w:rsid w:val="00147EE7"/>
    <w:rsid w:val="00151D1A"/>
    <w:rsid w:val="00154BB8"/>
    <w:rsid w:val="00156418"/>
    <w:rsid w:val="00160839"/>
    <w:rsid w:val="001670A7"/>
    <w:rsid w:val="001838A1"/>
    <w:rsid w:val="00184A1F"/>
    <w:rsid w:val="00187083"/>
    <w:rsid w:val="001871BB"/>
    <w:rsid w:val="00190D86"/>
    <w:rsid w:val="001912D4"/>
    <w:rsid w:val="00193C2F"/>
    <w:rsid w:val="00193DF7"/>
    <w:rsid w:val="001A25B1"/>
    <w:rsid w:val="001A2CB6"/>
    <w:rsid w:val="001A7246"/>
    <w:rsid w:val="001B0F10"/>
    <w:rsid w:val="001B23E8"/>
    <w:rsid w:val="001C7672"/>
    <w:rsid w:val="001D18B9"/>
    <w:rsid w:val="001D55FF"/>
    <w:rsid w:val="001E2DD2"/>
    <w:rsid w:val="001E6D46"/>
    <w:rsid w:val="001F5C69"/>
    <w:rsid w:val="00202522"/>
    <w:rsid w:val="00204C47"/>
    <w:rsid w:val="00211C06"/>
    <w:rsid w:val="00215FE3"/>
    <w:rsid w:val="00220B62"/>
    <w:rsid w:val="002273F4"/>
    <w:rsid w:val="00230AAD"/>
    <w:rsid w:val="00231CA7"/>
    <w:rsid w:val="002328C6"/>
    <w:rsid w:val="002364B0"/>
    <w:rsid w:val="00241B36"/>
    <w:rsid w:val="00243460"/>
    <w:rsid w:val="0024376B"/>
    <w:rsid w:val="0024679F"/>
    <w:rsid w:val="00247DD8"/>
    <w:rsid w:val="00250F38"/>
    <w:rsid w:val="00251907"/>
    <w:rsid w:val="00260413"/>
    <w:rsid w:val="002639DB"/>
    <w:rsid w:val="00273C09"/>
    <w:rsid w:val="002742AB"/>
    <w:rsid w:val="00277A83"/>
    <w:rsid w:val="00277C4D"/>
    <w:rsid w:val="00281232"/>
    <w:rsid w:val="00282360"/>
    <w:rsid w:val="002863C5"/>
    <w:rsid w:val="00287DD0"/>
    <w:rsid w:val="0029183A"/>
    <w:rsid w:val="0029227A"/>
    <w:rsid w:val="002967BF"/>
    <w:rsid w:val="002A19B4"/>
    <w:rsid w:val="002A49F6"/>
    <w:rsid w:val="002B27D6"/>
    <w:rsid w:val="002B46D4"/>
    <w:rsid w:val="002B5B8A"/>
    <w:rsid w:val="002C0716"/>
    <w:rsid w:val="002C100A"/>
    <w:rsid w:val="002C2CB1"/>
    <w:rsid w:val="002C3F20"/>
    <w:rsid w:val="002C4AD8"/>
    <w:rsid w:val="002D19E3"/>
    <w:rsid w:val="002D2732"/>
    <w:rsid w:val="002D5015"/>
    <w:rsid w:val="002D58B4"/>
    <w:rsid w:val="002D5C0A"/>
    <w:rsid w:val="002D7EBA"/>
    <w:rsid w:val="002E037E"/>
    <w:rsid w:val="002E12BB"/>
    <w:rsid w:val="002E2363"/>
    <w:rsid w:val="002E579B"/>
    <w:rsid w:val="002E7D4F"/>
    <w:rsid w:val="0030018B"/>
    <w:rsid w:val="00302069"/>
    <w:rsid w:val="00305FAD"/>
    <w:rsid w:val="003121D8"/>
    <w:rsid w:val="00316196"/>
    <w:rsid w:val="00317A4D"/>
    <w:rsid w:val="00320DCB"/>
    <w:rsid w:val="00322BDA"/>
    <w:rsid w:val="003232F9"/>
    <w:rsid w:val="0032572D"/>
    <w:rsid w:val="00325C7A"/>
    <w:rsid w:val="00326751"/>
    <w:rsid w:val="00327F4D"/>
    <w:rsid w:val="00332A1A"/>
    <w:rsid w:val="00333B6F"/>
    <w:rsid w:val="0033596B"/>
    <w:rsid w:val="00336D2B"/>
    <w:rsid w:val="003406F6"/>
    <w:rsid w:val="00342109"/>
    <w:rsid w:val="00345AF3"/>
    <w:rsid w:val="00346BF6"/>
    <w:rsid w:val="0035004C"/>
    <w:rsid w:val="00350DD8"/>
    <w:rsid w:val="00353B62"/>
    <w:rsid w:val="00354105"/>
    <w:rsid w:val="003544C0"/>
    <w:rsid w:val="00354B85"/>
    <w:rsid w:val="00355ACE"/>
    <w:rsid w:val="00356605"/>
    <w:rsid w:val="00361E51"/>
    <w:rsid w:val="003632F7"/>
    <w:rsid w:val="003712CC"/>
    <w:rsid w:val="00375E2D"/>
    <w:rsid w:val="00380852"/>
    <w:rsid w:val="00383491"/>
    <w:rsid w:val="003937F1"/>
    <w:rsid w:val="003A4BAF"/>
    <w:rsid w:val="003A7002"/>
    <w:rsid w:val="003B3865"/>
    <w:rsid w:val="003B6606"/>
    <w:rsid w:val="003C1505"/>
    <w:rsid w:val="003C23CE"/>
    <w:rsid w:val="003C2533"/>
    <w:rsid w:val="003C378E"/>
    <w:rsid w:val="003C3A9D"/>
    <w:rsid w:val="003C4114"/>
    <w:rsid w:val="003D1DF9"/>
    <w:rsid w:val="003D70FF"/>
    <w:rsid w:val="003E6DC4"/>
    <w:rsid w:val="003F012F"/>
    <w:rsid w:val="003F061E"/>
    <w:rsid w:val="003F4E16"/>
    <w:rsid w:val="003F5598"/>
    <w:rsid w:val="00400401"/>
    <w:rsid w:val="00404F2B"/>
    <w:rsid w:val="0040543D"/>
    <w:rsid w:val="00411B78"/>
    <w:rsid w:val="00411C23"/>
    <w:rsid w:val="004120CA"/>
    <w:rsid w:val="004150D2"/>
    <w:rsid w:val="00416140"/>
    <w:rsid w:val="00417396"/>
    <w:rsid w:val="00422F96"/>
    <w:rsid w:val="0042416C"/>
    <w:rsid w:val="00425C78"/>
    <w:rsid w:val="00427132"/>
    <w:rsid w:val="00432406"/>
    <w:rsid w:val="004333A5"/>
    <w:rsid w:val="004341B3"/>
    <w:rsid w:val="00435399"/>
    <w:rsid w:val="0043640F"/>
    <w:rsid w:val="0044079F"/>
    <w:rsid w:val="00441311"/>
    <w:rsid w:val="00441590"/>
    <w:rsid w:val="0044445B"/>
    <w:rsid w:val="00444B24"/>
    <w:rsid w:val="004508D1"/>
    <w:rsid w:val="00455B85"/>
    <w:rsid w:val="004565C9"/>
    <w:rsid w:val="00460AC2"/>
    <w:rsid w:val="00461388"/>
    <w:rsid w:val="00461B81"/>
    <w:rsid w:val="004638D4"/>
    <w:rsid w:val="00466646"/>
    <w:rsid w:val="00466BD7"/>
    <w:rsid w:val="004677E8"/>
    <w:rsid w:val="00467C3C"/>
    <w:rsid w:val="0047442C"/>
    <w:rsid w:val="00474746"/>
    <w:rsid w:val="00474B17"/>
    <w:rsid w:val="00475207"/>
    <w:rsid w:val="00481F43"/>
    <w:rsid w:val="00482DF5"/>
    <w:rsid w:val="00486C50"/>
    <w:rsid w:val="00492050"/>
    <w:rsid w:val="004925FD"/>
    <w:rsid w:val="00494648"/>
    <w:rsid w:val="0049651F"/>
    <w:rsid w:val="004A101A"/>
    <w:rsid w:val="004A61CA"/>
    <w:rsid w:val="004B0A0C"/>
    <w:rsid w:val="004B0D37"/>
    <w:rsid w:val="004B457F"/>
    <w:rsid w:val="004B47EB"/>
    <w:rsid w:val="004B5C5A"/>
    <w:rsid w:val="004B7D13"/>
    <w:rsid w:val="004C0206"/>
    <w:rsid w:val="004C023B"/>
    <w:rsid w:val="004C27CB"/>
    <w:rsid w:val="004D20B1"/>
    <w:rsid w:val="004D4CA4"/>
    <w:rsid w:val="004E085F"/>
    <w:rsid w:val="004E6B0C"/>
    <w:rsid w:val="004F1231"/>
    <w:rsid w:val="004F50B9"/>
    <w:rsid w:val="004F7840"/>
    <w:rsid w:val="00504BED"/>
    <w:rsid w:val="005059DC"/>
    <w:rsid w:val="005060E3"/>
    <w:rsid w:val="0050671F"/>
    <w:rsid w:val="00506B41"/>
    <w:rsid w:val="00507DE3"/>
    <w:rsid w:val="00513502"/>
    <w:rsid w:val="0052161C"/>
    <w:rsid w:val="00522D53"/>
    <w:rsid w:val="00523DB6"/>
    <w:rsid w:val="00523DCE"/>
    <w:rsid w:val="00525694"/>
    <w:rsid w:val="00530250"/>
    <w:rsid w:val="00530818"/>
    <w:rsid w:val="0053115C"/>
    <w:rsid w:val="00533BFB"/>
    <w:rsid w:val="00540C03"/>
    <w:rsid w:val="005422AC"/>
    <w:rsid w:val="00544258"/>
    <w:rsid w:val="005501B3"/>
    <w:rsid w:val="0055120D"/>
    <w:rsid w:val="00555046"/>
    <w:rsid w:val="005574D7"/>
    <w:rsid w:val="00566066"/>
    <w:rsid w:val="00567AA8"/>
    <w:rsid w:val="00572440"/>
    <w:rsid w:val="00577781"/>
    <w:rsid w:val="0058036B"/>
    <w:rsid w:val="005834BF"/>
    <w:rsid w:val="0058647A"/>
    <w:rsid w:val="00593355"/>
    <w:rsid w:val="00596A04"/>
    <w:rsid w:val="005A2C80"/>
    <w:rsid w:val="005C1C3D"/>
    <w:rsid w:val="005C2EB4"/>
    <w:rsid w:val="005C52D8"/>
    <w:rsid w:val="005C62C1"/>
    <w:rsid w:val="005C6541"/>
    <w:rsid w:val="005D00F3"/>
    <w:rsid w:val="005D1E44"/>
    <w:rsid w:val="005D2CDC"/>
    <w:rsid w:val="005D3DFF"/>
    <w:rsid w:val="005D503D"/>
    <w:rsid w:val="005D57B8"/>
    <w:rsid w:val="005D5CD2"/>
    <w:rsid w:val="005D7261"/>
    <w:rsid w:val="005E0E0D"/>
    <w:rsid w:val="005E19FD"/>
    <w:rsid w:val="005E3BBF"/>
    <w:rsid w:val="005E404E"/>
    <w:rsid w:val="005E4D45"/>
    <w:rsid w:val="005E78DB"/>
    <w:rsid w:val="00600FEA"/>
    <w:rsid w:val="00604A4E"/>
    <w:rsid w:val="006067F3"/>
    <w:rsid w:val="00610302"/>
    <w:rsid w:val="00610F05"/>
    <w:rsid w:val="00614109"/>
    <w:rsid w:val="0061587A"/>
    <w:rsid w:val="00616673"/>
    <w:rsid w:val="00622FDB"/>
    <w:rsid w:val="00623AA6"/>
    <w:rsid w:val="006248CD"/>
    <w:rsid w:val="006311C4"/>
    <w:rsid w:val="00631CC3"/>
    <w:rsid w:val="00633196"/>
    <w:rsid w:val="00633C34"/>
    <w:rsid w:val="00634E0D"/>
    <w:rsid w:val="006401D4"/>
    <w:rsid w:val="00641528"/>
    <w:rsid w:val="00642343"/>
    <w:rsid w:val="00643128"/>
    <w:rsid w:val="00643301"/>
    <w:rsid w:val="006512F6"/>
    <w:rsid w:val="0065149F"/>
    <w:rsid w:val="006519CA"/>
    <w:rsid w:val="0065410C"/>
    <w:rsid w:val="0065461F"/>
    <w:rsid w:val="0066212B"/>
    <w:rsid w:val="0066491E"/>
    <w:rsid w:val="00664E39"/>
    <w:rsid w:val="00666391"/>
    <w:rsid w:val="00667AFC"/>
    <w:rsid w:val="0067371B"/>
    <w:rsid w:val="0067374F"/>
    <w:rsid w:val="0067380C"/>
    <w:rsid w:val="00673970"/>
    <w:rsid w:val="00674DFB"/>
    <w:rsid w:val="00675FEE"/>
    <w:rsid w:val="00682DED"/>
    <w:rsid w:val="006851B8"/>
    <w:rsid w:val="006856EE"/>
    <w:rsid w:val="00685927"/>
    <w:rsid w:val="00692A8C"/>
    <w:rsid w:val="00694F82"/>
    <w:rsid w:val="00695A8E"/>
    <w:rsid w:val="006970A2"/>
    <w:rsid w:val="00697267"/>
    <w:rsid w:val="006A0EED"/>
    <w:rsid w:val="006A1728"/>
    <w:rsid w:val="006A49F9"/>
    <w:rsid w:val="006B128D"/>
    <w:rsid w:val="006B28B2"/>
    <w:rsid w:val="006B3969"/>
    <w:rsid w:val="006B421F"/>
    <w:rsid w:val="006C426C"/>
    <w:rsid w:val="006C42F4"/>
    <w:rsid w:val="006D066F"/>
    <w:rsid w:val="006D4043"/>
    <w:rsid w:val="006D4D28"/>
    <w:rsid w:val="006E0102"/>
    <w:rsid w:val="006E0C7D"/>
    <w:rsid w:val="006E102F"/>
    <w:rsid w:val="006E1115"/>
    <w:rsid w:val="006E14C3"/>
    <w:rsid w:val="006E20EB"/>
    <w:rsid w:val="006E3105"/>
    <w:rsid w:val="006E3160"/>
    <w:rsid w:val="006E340D"/>
    <w:rsid w:val="006E4691"/>
    <w:rsid w:val="006F05F5"/>
    <w:rsid w:val="006F445C"/>
    <w:rsid w:val="0070037D"/>
    <w:rsid w:val="007010BB"/>
    <w:rsid w:val="007033CB"/>
    <w:rsid w:val="00703500"/>
    <w:rsid w:val="007130A4"/>
    <w:rsid w:val="00713351"/>
    <w:rsid w:val="007137AC"/>
    <w:rsid w:val="0071560D"/>
    <w:rsid w:val="0071602D"/>
    <w:rsid w:val="007214A3"/>
    <w:rsid w:val="0072562C"/>
    <w:rsid w:val="00732C25"/>
    <w:rsid w:val="00735348"/>
    <w:rsid w:val="00736B8A"/>
    <w:rsid w:val="0074282C"/>
    <w:rsid w:val="00744311"/>
    <w:rsid w:val="0075141E"/>
    <w:rsid w:val="007517A4"/>
    <w:rsid w:val="007544F2"/>
    <w:rsid w:val="007551C8"/>
    <w:rsid w:val="007564AF"/>
    <w:rsid w:val="0075706A"/>
    <w:rsid w:val="00757597"/>
    <w:rsid w:val="00762423"/>
    <w:rsid w:val="00771DB8"/>
    <w:rsid w:val="00777208"/>
    <w:rsid w:val="00780E23"/>
    <w:rsid w:val="00784197"/>
    <w:rsid w:val="00786180"/>
    <w:rsid w:val="00786270"/>
    <w:rsid w:val="00794416"/>
    <w:rsid w:val="00794E14"/>
    <w:rsid w:val="00794E5B"/>
    <w:rsid w:val="00795065"/>
    <w:rsid w:val="007A0153"/>
    <w:rsid w:val="007A0ED2"/>
    <w:rsid w:val="007A48D9"/>
    <w:rsid w:val="007A49A8"/>
    <w:rsid w:val="007A5FA8"/>
    <w:rsid w:val="007C2110"/>
    <w:rsid w:val="007C3D5D"/>
    <w:rsid w:val="007C5485"/>
    <w:rsid w:val="007C6D23"/>
    <w:rsid w:val="007D12EF"/>
    <w:rsid w:val="007D1C67"/>
    <w:rsid w:val="007E038D"/>
    <w:rsid w:val="007E3070"/>
    <w:rsid w:val="007E715E"/>
    <w:rsid w:val="007F006C"/>
    <w:rsid w:val="007F105B"/>
    <w:rsid w:val="007F3382"/>
    <w:rsid w:val="007F6DD8"/>
    <w:rsid w:val="0080390F"/>
    <w:rsid w:val="00804A6E"/>
    <w:rsid w:val="0081135E"/>
    <w:rsid w:val="008149E0"/>
    <w:rsid w:val="00817B1E"/>
    <w:rsid w:val="0082036E"/>
    <w:rsid w:val="0082233C"/>
    <w:rsid w:val="00823271"/>
    <w:rsid w:val="00823CA7"/>
    <w:rsid w:val="00824D7C"/>
    <w:rsid w:val="008253CF"/>
    <w:rsid w:val="008266E8"/>
    <w:rsid w:val="008348E6"/>
    <w:rsid w:val="008409CD"/>
    <w:rsid w:val="0084322E"/>
    <w:rsid w:val="00843E45"/>
    <w:rsid w:val="0085127A"/>
    <w:rsid w:val="008518C8"/>
    <w:rsid w:val="00852275"/>
    <w:rsid w:val="0085377E"/>
    <w:rsid w:val="00854E87"/>
    <w:rsid w:val="0085586E"/>
    <w:rsid w:val="0085790F"/>
    <w:rsid w:val="00862264"/>
    <w:rsid w:val="00862DF0"/>
    <w:rsid w:val="0086501D"/>
    <w:rsid w:val="0087532C"/>
    <w:rsid w:val="00875F7B"/>
    <w:rsid w:val="008818AF"/>
    <w:rsid w:val="0088209B"/>
    <w:rsid w:val="00882DEF"/>
    <w:rsid w:val="00891189"/>
    <w:rsid w:val="00892283"/>
    <w:rsid w:val="008935AF"/>
    <w:rsid w:val="00893628"/>
    <w:rsid w:val="0089410E"/>
    <w:rsid w:val="008944A0"/>
    <w:rsid w:val="00896FC3"/>
    <w:rsid w:val="008A0BEE"/>
    <w:rsid w:val="008A3BC3"/>
    <w:rsid w:val="008B04CA"/>
    <w:rsid w:val="008B2D0F"/>
    <w:rsid w:val="008B5772"/>
    <w:rsid w:val="008B6E00"/>
    <w:rsid w:val="008C0E57"/>
    <w:rsid w:val="008C3583"/>
    <w:rsid w:val="008C3F1F"/>
    <w:rsid w:val="008C5D63"/>
    <w:rsid w:val="008D0C48"/>
    <w:rsid w:val="008D1B00"/>
    <w:rsid w:val="008D53E2"/>
    <w:rsid w:val="008D694F"/>
    <w:rsid w:val="008E1407"/>
    <w:rsid w:val="008E34A9"/>
    <w:rsid w:val="008E3D55"/>
    <w:rsid w:val="008E5CB0"/>
    <w:rsid w:val="008E71FF"/>
    <w:rsid w:val="008F08A9"/>
    <w:rsid w:val="008F1902"/>
    <w:rsid w:val="008F4763"/>
    <w:rsid w:val="008F54B7"/>
    <w:rsid w:val="008F5A17"/>
    <w:rsid w:val="008F7D56"/>
    <w:rsid w:val="0090394B"/>
    <w:rsid w:val="009043BA"/>
    <w:rsid w:val="00910085"/>
    <w:rsid w:val="00910F1C"/>
    <w:rsid w:val="009114F7"/>
    <w:rsid w:val="0091193D"/>
    <w:rsid w:val="00913598"/>
    <w:rsid w:val="009139E0"/>
    <w:rsid w:val="00922048"/>
    <w:rsid w:val="00925816"/>
    <w:rsid w:val="00926863"/>
    <w:rsid w:val="009268B5"/>
    <w:rsid w:val="00927091"/>
    <w:rsid w:val="009314CE"/>
    <w:rsid w:val="00933054"/>
    <w:rsid w:val="009360EE"/>
    <w:rsid w:val="00936961"/>
    <w:rsid w:val="00937E2B"/>
    <w:rsid w:val="009435A1"/>
    <w:rsid w:val="009476DD"/>
    <w:rsid w:val="00947AEA"/>
    <w:rsid w:val="009510E2"/>
    <w:rsid w:val="00961413"/>
    <w:rsid w:val="0096375B"/>
    <w:rsid w:val="0096454E"/>
    <w:rsid w:val="00972298"/>
    <w:rsid w:val="00973F8F"/>
    <w:rsid w:val="00976BDC"/>
    <w:rsid w:val="00977A1A"/>
    <w:rsid w:val="0098398F"/>
    <w:rsid w:val="00987521"/>
    <w:rsid w:val="00990170"/>
    <w:rsid w:val="00991041"/>
    <w:rsid w:val="00992043"/>
    <w:rsid w:val="00992CCD"/>
    <w:rsid w:val="009945DD"/>
    <w:rsid w:val="00996519"/>
    <w:rsid w:val="00997B26"/>
    <w:rsid w:val="009A192E"/>
    <w:rsid w:val="009A4AFF"/>
    <w:rsid w:val="009A5212"/>
    <w:rsid w:val="009B2D83"/>
    <w:rsid w:val="009B7495"/>
    <w:rsid w:val="009C0C10"/>
    <w:rsid w:val="009C4593"/>
    <w:rsid w:val="009D0A20"/>
    <w:rsid w:val="009D2274"/>
    <w:rsid w:val="009D38F5"/>
    <w:rsid w:val="009D5F71"/>
    <w:rsid w:val="009D7054"/>
    <w:rsid w:val="009D77F1"/>
    <w:rsid w:val="009E1E82"/>
    <w:rsid w:val="009E4A45"/>
    <w:rsid w:val="009E5215"/>
    <w:rsid w:val="009E5A44"/>
    <w:rsid w:val="009F2C73"/>
    <w:rsid w:val="009F2FB4"/>
    <w:rsid w:val="009F3A40"/>
    <w:rsid w:val="009F6F90"/>
    <w:rsid w:val="00A027F1"/>
    <w:rsid w:val="00A04FAB"/>
    <w:rsid w:val="00A05D27"/>
    <w:rsid w:val="00A060C4"/>
    <w:rsid w:val="00A102C1"/>
    <w:rsid w:val="00A10840"/>
    <w:rsid w:val="00A13E9F"/>
    <w:rsid w:val="00A307F7"/>
    <w:rsid w:val="00A32705"/>
    <w:rsid w:val="00A32FCF"/>
    <w:rsid w:val="00A34B47"/>
    <w:rsid w:val="00A35BF1"/>
    <w:rsid w:val="00A36BBE"/>
    <w:rsid w:val="00A407BC"/>
    <w:rsid w:val="00A414B6"/>
    <w:rsid w:val="00A45B5A"/>
    <w:rsid w:val="00A5076B"/>
    <w:rsid w:val="00A51355"/>
    <w:rsid w:val="00A52722"/>
    <w:rsid w:val="00A527B4"/>
    <w:rsid w:val="00A553AD"/>
    <w:rsid w:val="00A647DB"/>
    <w:rsid w:val="00A65FCA"/>
    <w:rsid w:val="00A66E59"/>
    <w:rsid w:val="00A675F1"/>
    <w:rsid w:val="00A74937"/>
    <w:rsid w:val="00A83501"/>
    <w:rsid w:val="00A85D80"/>
    <w:rsid w:val="00A862EA"/>
    <w:rsid w:val="00A9089A"/>
    <w:rsid w:val="00A91109"/>
    <w:rsid w:val="00A92091"/>
    <w:rsid w:val="00A958C2"/>
    <w:rsid w:val="00A972EF"/>
    <w:rsid w:val="00AA1472"/>
    <w:rsid w:val="00AA1491"/>
    <w:rsid w:val="00AA185E"/>
    <w:rsid w:val="00AA572D"/>
    <w:rsid w:val="00AA639E"/>
    <w:rsid w:val="00AB2E43"/>
    <w:rsid w:val="00AB52A0"/>
    <w:rsid w:val="00AB70AA"/>
    <w:rsid w:val="00AC13DB"/>
    <w:rsid w:val="00AC4F5D"/>
    <w:rsid w:val="00AC7055"/>
    <w:rsid w:val="00AC7094"/>
    <w:rsid w:val="00AC75A2"/>
    <w:rsid w:val="00AC7746"/>
    <w:rsid w:val="00AD6D17"/>
    <w:rsid w:val="00AD74BE"/>
    <w:rsid w:val="00AD7DAD"/>
    <w:rsid w:val="00AD7DC9"/>
    <w:rsid w:val="00AE1C31"/>
    <w:rsid w:val="00AE40DA"/>
    <w:rsid w:val="00AE4D94"/>
    <w:rsid w:val="00AE4F3B"/>
    <w:rsid w:val="00AE7F15"/>
    <w:rsid w:val="00AF0861"/>
    <w:rsid w:val="00AF5461"/>
    <w:rsid w:val="00AF5735"/>
    <w:rsid w:val="00AF5C16"/>
    <w:rsid w:val="00AF6228"/>
    <w:rsid w:val="00B0156B"/>
    <w:rsid w:val="00B01C45"/>
    <w:rsid w:val="00B05F29"/>
    <w:rsid w:val="00B11A69"/>
    <w:rsid w:val="00B120D3"/>
    <w:rsid w:val="00B1261E"/>
    <w:rsid w:val="00B13CDE"/>
    <w:rsid w:val="00B147F1"/>
    <w:rsid w:val="00B15B39"/>
    <w:rsid w:val="00B17E84"/>
    <w:rsid w:val="00B31CD9"/>
    <w:rsid w:val="00B34388"/>
    <w:rsid w:val="00B3671A"/>
    <w:rsid w:val="00B37C75"/>
    <w:rsid w:val="00B420CC"/>
    <w:rsid w:val="00B46F8B"/>
    <w:rsid w:val="00B5256B"/>
    <w:rsid w:val="00B5740B"/>
    <w:rsid w:val="00B579C7"/>
    <w:rsid w:val="00B60695"/>
    <w:rsid w:val="00B63B77"/>
    <w:rsid w:val="00B64167"/>
    <w:rsid w:val="00B662BE"/>
    <w:rsid w:val="00B67AD4"/>
    <w:rsid w:val="00B714C1"/>
    <w:rsid w:val="00B71771"/>
    <w:rsid w:val="00B72E12"/>
    <w:rsid w:val="00B7303A"/>
    <w:rsid w:val="00B755A4"/>
    <w:rsid w:val="00B77A66"/>
    <w:rsid w:val="00B81A52"/>
    <w:rsid w:val="00B81D54"/>
    <w:rsid w:val="00B83CEC"/>
    <w:rsid w:val="00B86E0D"/>
    <w:rsid w:val="00B907B4"/>
    <w:rsid w:val="00B9163F"/>
    <w:rsid w:val="00B91F54"/>
    <w:rsid w:val="00B927FF"/>
    <w:rsid w:val="00B92BAE"/>
    <w:rsid w:val="00BA0B14"/>
    <w:rsid w:val="00BA1509"/>
    <w:rsid w:val="00BA5BBF"/>
    <w:rsid w:val="00BA6CCC"/>
    <w:rsid w:val="00BA6CEB"/>
    <w:rsid w:val="00BB2517"/>
    <w:rsid w:val="00BB4CD9"/>
    <w:rsid w:val="00BC1F39"/>
    <w:rsid w:val="00BC2EAA"/>
    <w:rsid w:val="00BD1684"/>
    <w:rsid w:val="00BD4B6F"/>
    <w:rsid w:val="00BD7F03"/>
    <w:rsid w:val="00BE1767"/>
    <w:rsid w:val="00BE6F30"/>
    <w:rsid w:val="00BF46BC"/>
    <w:rsid w:val="00BF494B"/>
    <w:rsid w:val="00BF4D14"/>
    <w:rsid w:val="00BF5598"/>
    <w:rsid w:val="00BF6828"/>
    <w:rsid w:val="00C005FD"/>
    <w:rsid w:val="00C04352"/>
    <w:rsid w:val="00C0508D"/>
    <w:rsid w:val="00C12975"/>
    <w:rsid w:val="00C15BA5"/>
    <w:rsid w:val="00C15CCA"/>
    <w:rsid w:val="00C161F9"/>
    <w:rsid w:val="00C16D9B"/>
    <w:rsid w:val="00C23EA9"/>
    <w:rsid w:val="00C25741"/>
    <w:rsid w:val="00C2600A"/>
    <w:rsid w:val="00C26D1F"/>
    <w:rsid w:val="00C31683"/>
    <w:rsid w:val="00C31C43"/>
    <w:rsid w:val="00C366E1"/>
    <w:rsid w:val="00C36F3C"/>
    <w:rsid w:val="00C415D4"/>
    <w:rsid w:val="00C42F47"/>
    <w:rsid w:val="00C45A74"/>
    <w:rsid w:val="00C5033C"/>
    <w:rsid w:val="00C53FE3"/>
    <w:rsid w:val="00C56A3B"/>
    <w:rsid w:val="00C61ECD"/>
    <w:rsid w:val="00C642EC"/>
    <w:rsid w:val="00C65DAB"/>
    <w:rsid w:val="00C6740A"/>
    <w:rsid w:val="00C67775"/>
    <w:rsid w:val="00C70B67"/>
    <w:rsid w:val="00C72EDE"/>
    <w:rsid w:val="00C74E24"/>
    <w:rsid w:val="00C82E3D"/>
    <w:rsid w:val="00C862E8"/>
    <w:rsid w:val="00C86567"/>
    <w:rsid w:val="00C868A9"/>
    <w:rsid w:val="00C869F5"/>
    <w:rsid w:val="00C87582"/>
    <w:rsid w:val="00C927C1"/>
    <w:rsid w:val="00C92A09"/>
    <w:rsid w:val="00C92A15"/>
    <w:rsid w:val="00CA0991"/>
    <w:rsid w:val="00CA1EE3"/>
    <w:rsid w:val="00CA3F84"/>
    <w:rsid w:val="00CB1CB7"/>
    <w:rsid w:val="00CB21D8"/>
    <w:rsid w:val="00CB2A35"/>
    <w:rsid w:val="00CB425D"/>
    <w:rsid w:val="00CB50A7"/>
    <w:rsid w:val="00CB6194"/>
    <w:rsid w:val="00CB6979"/>
    <w:rsid w:val="00CB7565"/>
    <w:rsid w:val="00CC657A"/>
    <w:rsid w:val="00CD3D64"/>
    <w:rsid w:val="00CD5689"/>
    <w:rsid w:val="00CD7073"/>
    <w:rsid w:val="00CE1C9E"/>
    <w:rsid w:val="00CE37DC"/>
    <w:rsid w:val="00CE6101"/>
    <w:rsid w:val="00CF051F"/>
    <w:rsid w:val="00CF0AEA"/>
    <w:rsid w:val="00CF0CF7"/>
    <w:rsid w:val="00CF2BDC"/>
    <w:rsid w:val="00D000CD"/>
    <w:rsid w:val="00D0685C"/>
    <w:rsid w:val="00D153EB"/>
    <w:rsid w:val="00D15B39"/>
    <w:rsid w:val="00D21C0B"/>
    <w:rsid w:val="00D23099"/>
    <w:rsid w:val="00D23760"/>
    <w:rsid w:val="00D2667E"/>
    <w:rsid w:val="00D26B0A"/>
    <w:rsid w:val="00D27FD8"/>
    <w:rsid w:val="00D30356"/>
    <w:rsid w:val="00D30984"/>
    <w:rsid w:val="00D35D98"/>
    <w:rsid w:val="00D4227F"/>
    <w:rsid w:val="00D44890"/>
    <w:rsid w:val="00D46039"/>
    <w:rsid w:val="00D501DB"/>
    <w:rsid w:val="00D50CBB"/>
    <w:rsid w:val="00D54C32"/>
    <w:rsid w:val="00D575D0"/>
    <w:rsid w:val="00D576F4"/>
    <w:rsid w:val="00D57B31"/>
    <w:rsid w:val="00D63D93"/>
    <w:rsid w:val="00D67DEC"/>
    <w:rsid w:val="00D67E07"/>
    <w:rsid w:val="00D70835"/>
    <w:rsid w:val="00D74C35"/>
    <w:rsid w:val="00D810CB"/>
    <w:rsid w:val="00D8386D"/>
    <w:rsid w:val="00D8701A"/>
    <w:rsid w:val="00D87639"/>
    <w:rsid w:val="00D876F0"/>
    <w:rsid w:val="00D94FF1"/>
    <w:rsid w:val="00D95365"/>
    <w:rsid w:val="00D95656"/>
    <w:rsid w:val="00D95E62"/>
    <w:rsid w:val="00DA109F"/>
    <w:rsid w:val="00DA40BF"/>
    <w:rsid w:val="00DB2D38"/>
    <w:rsid w:val="00DC18D3"/>
    <w:rsid w:val="00DC2615"/>
    <w:rsid w:val="00DC2A92"/>
    <w:rsid w:val="00DC4E4B"/>
    <w:rsid w:val="00DC5637"/>
    <w:rsid w:val="00DC5C0C"/>
    <w:rsid w:val="00DC6442"/>
    <w:rsid w:val="00DD075C"/>
    <w:rsid w:val="00DD26E8"/>
    <w:rsid w:val="00DD43A8"/>
    <w:rsid w:val="00DD45A4"/>
    <w:rsid w:val="00DE129E"/>
    <w:rsid w:val="00DE1564"/>
    <w:rsid w:val="00DE3C64"/>
    <w:rsid w:val="00DE3DED"/>
    <w:rsid w:val="00DE5DDB"/>
    <w:rsid w:val="00DE6660"/>
    <w:rsid w:val="00DE7302"/>
    <w:rsid w:val="00DF1DC6"/>
    <w:rsid w:val="00DF7D95"/>
    <w:rsid w:val="00E00CC8"/>
    <w:rsid w:val="00E03BD2"/>
    <w:rsid w:val="00E11570"/>
    <w:rsid w:val="00E12F36"/>
    <w:rsid w:val="00E14799"/>
    <w:rsid w:val="00E16C06"/>
    <w:rsid w:val="00E2754D"/>
    <w:rsid w:val="00E275F3"/>
    <w:rsid w:val="00E3022C"/>
    <w:rsid w:val="00E30F01"/>
    <w:rsid w:val="00E337E1"/>
    <w:rsid w:val="00E34EF8"/>
    <w:rsid w:val="00E3665C"/>
    <w:rsid w:val="00E36D12"/>
    <w:rsid w:val="00E41826"/>
    <w:rsid w:val="00E4296E"/>
    <w:rsid w:val="00E46CFF"/>
    <w:rsid w:val="00E47661"/>
    <w:rsid w:val="00E50D16"/>
    <w:rsid w:val="00E53AC8"/>
    <w:rsid w:val="00E5464C"/>
    <w:rsid w:val="00E5489D"/>
    <w:rsid w:val="00E61C92"/>
    <w:rsid w:val="00E63673"/>
    <w:rsid w:val="00E656DD"/>
    <w:rsid w:val="00E70DEC"/>
    <w:rsid w:val="00E743A5"/>
    <w:rsid w:val="00E818CE"/>
    <w:rsid w:val="00E8467F"/>
    <w:rsid w:val="00E8650C"/>
    <w:rsid w:val="00E92916"/>
    <w:rsid w:val="00E931C0"/>
    <w:rsid w:val="00E9339D"/>
    <w:rsid w:val="00E9592D"/>
    <w:rsid w:val="00E97263"/>
    <w:rsid w:val="00EA10D3"/>
    <w:rsid w:val="00EA2D2C"/>
    <w:rsid w:val="00EA5A4A"/>
    <w:rsid w:val="00EA6F85"/>
    <w:rsid w:val="00EB3AEC"/>
    <w:rsid w:val="00EC098F"/>
    <w:rsid w:val="00EC1165"/>
    <w:rsid w:val="00EC2995"/>
    <w:rsid w:val="00EC2BA8"/>
    <w:rsid w:val="00EC2C77"/>
    <w:rsid w:val="00EC3E65"/>
    <w:rsid w:val="00EC6191"/>
    <w:rsid w:val="00ED06F7"/>
    <w:rsid w:val="00ED16BF"/>
    <w:rsid w:val="00ED5D1E"/>
    <w:rsid w:val="00EE2A0D"/>
    <w:rsid w:val="00EE67EB"/>
    <w:rsid w:val="00EF216C"/>
    <w:rsid w:val="00EF58E6"/>
    <w:rsid w:val="00EF6434"/>
    <w:rsid w:val="00EF787B"/>
    <w:rsid w:val="00F00614"/>
    <w:rsid w:val="00F02C97"/>
    <w:rsid w:val="00F02EDD"/>
    <w:rsid w:val="00F07CE5"/>
    <w:rsid w:val="00F111BD"/>
    <w:rsid w:val="00F15047"/>
    <w:rsid w:val="00F1683C"/>
    <w:rsid w:val="00F20DBE"/>
    <w:rsid w:val="00F21DDB"/>
    <w:rsid w:val="00F23D85"/>
    <w:rsid w:val="00F30765"/>
    <w:rsid w:val="00F311CE"/>
    <w:rsid w:val="00F319A5"/>
    <w:rsid w:val="00F33561"/>
    <w:rsid w:val="00F34107"/>
    <w:rsid w:val="00F34956"/>
    <w:rsid w:val="00F35A82"/>
    <w:rsid w:val="00F36666"/>
    <w:rsid w:val="00F4422A"/>
    <w:rsid w:val="00F45629"/>
    <w:rsid w:val="00F45BD1"/>
    <w:rsid w:val="00F53594"/>
    <w:rsid w:val="00F537E9"/>
    <w:rsid w:val="00F53D90"/>
    <w:rsid w:val="00F548C9"/>
    <w:rsid w:val="00F56C04"/>
    <w:rsid w:val="00F61308"/>
    <w:rsid w:val="00F618F9"/>
    <w:rsid w:val="00F63F39"/>
    <w:rsid w:val="00F66927"/>
    <w:rsid w:val="00F67A1D"/>
    <w:rsid w:val="00F71923"/>
    <w:rsid w:val="00F73293"/>
    <w:rsid w:val="00F76747"/>
    <w:rsid w:val="00F80D06"/>
    <w:rsid w:val="00F87F5D"/>
    <w:rsid w:val="00F930AB"/>
    <w:rsid w:val="00FA035A"/>
    <w:rsid w:val="00FA1608"/>
    <w:rsid w:val="00FA1D30"/>
    <w:rsid w:val="00FB2601"/>
    <w:rsid w:val="00FB7200"/>
    <w:rsid w:val="00FB737D"/>
    <w:rsid w:val="00FB75D8"/>
    <w:rsid w:val="00FB7A0F"/>
    <w:rsid w:val="00FB7FDF"/>
    <w:rsid w:val="00FC1DDE"/>
    <w:rsid w:val="00FC241B"/>
    <w:rsid w:val="00FC2946"/>
    <w:rsid w:val="00FC29CA"/>
    <w:rsid w:val="00FC6E64"/>
    <w:rsid w:val="00FD1292"/>
    <w:rsid w:val="00FD34CB"/>
    <w:rsid w:val="00FD396C"/>
    <w:rsid w:val="00FE4299"/>
    <w:rsid w:val="00FE54E3"/>
    <w:rsid w:val="00FE702A"/>
    <w:rsid w:val="00FF1A59"/>
    <w:rsid w:val="02D772E5"/>
    <w:rsid w:val="067A3FE3"/>
    <w:rsid w:val="1E7C3242"/>
    <w:rsid w:val="29394873"/>
    <w:rsid w:val="449B74F3"/>
    <w:rsid w:val="563D3BF7"/>
    <w:rsid w:val="61005930"/>
    <w:rsid w:val="693B6123"/>
    <w:rsid w:val="771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link w:val="23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line="560" w:lineRule="exact"/>
      <w:ind w:firstLine="200" w:firstLineChars="200"/>
    </w:pPr>
    <w:rPr>
      <w:rFonts w:ascii="Times New Roman" w:hAnsi="Times New Roman" w:eastAsia="仿宋"/>
      <w:sz w:val="32"/>
    </w:rPr>
  </w:style>
  <w:style w:type="paragraph" w:styleId="6">
    <w:name w:val="Body Text Indent"/>
    <w:basedOn w:val="1"/>
    <w:link w:val="28"/>
    <w:qFormat/>
    <w:uiPriority w:val="99"/>
    <w:pPr>
      <w:ind w:left="420" w:leftChars="200"/>
    </w:pPr>
    <w:rPr>
      <w:kern w:val="0"/>
      <w:sz w:val="24"/>
    </w:rPr>
  </w:style>
  <w:style w:type="paragraph" w:styleId="7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34"/>
    <w:qFormat/>
    <w:locked/>
    <w:uiPriority w:val="10"/>
    <w:pPr>
      <w:tabs>
        <w:tab w:val="left" w:pos="947"/>
      </w:tabs>
      <w:spacing w:line="576" w:lineRule="exact"/>
      <w:ind w:left="1760" w:hanging="1760" w:hangingChars="40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13">
    <w:name w:val="Body Text First Indent 2"/>
    <w:basedOn w:val="6"/>
    <w:link w:val="43"/>
    <w:qFormat/>
    <w:uiPriority w:val="0"/>
    <w:pPr>
      <w:spacing w:after="120"/>
      <w:ind w:firstLine="420" w:firstLineChars="200"/>
    </w:pPr>
    <w:rPr>
      <w:rFonts w:ascii="Times New Roman" w:hAnsi="Times New Roman"/>
      <w:kern w:val="2"/>
      <w:sz w:val="21"/>
    </w:rPr>
  </w:style>
  <w:style w:type="table" w:styleId="15">
    <w:name w:val="Table Grid"/>
    <w:basedOn w:val="14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basedOn w:val="16"/>
    <w:qFormat/>
    <w:locked/>
    <w:uiPriority w:val="0"/>
    <w:rPr>
      <w:rFonts w:cs="Times New Roman"/>
      <w:i/>
    </w:rPr>
  </w:style>
  <w:style w:type="character" w:styleId="20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21">
    <w:name w:val="标题 1 Char"/>
    <w:basedOn w:val="16"/>
    <w:link w:val="3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2">
    <w:name w:val="标题 2 Char"/>
    <w:basedOn w:val="16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标题 3 Char"/>
    <w:basedOn w:val="16"/>
    <w:link w:val="2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4">
    <w:name w:val="页眉 Char"/>
    <w:basedOn w:val="16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脚 Char"/>
    <w:basedOn w:val="16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Body Text Indent Char"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Body Text Indent Char1"/>
    <w:basedOn w:val="16"/>
    <w:link w:val="6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8">
    <w:name w:val="正文文本缩进 Char"/>
    <w:basedOn w:val="16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2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普通(网站)1"/>
    <w:basedOn w:val="1"/>
    <w:qFormat/>
    <w:uiPriority w:val="99"/>
    <w:pPr>
      <w:jc w:val="left"/>
    </w:pPr>
    <w:rPr>
      <w:kern w:val="0"/>
      <w:sz w:val="24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批注框文本 Char"/>
    <w:basedOn w:val="16"/>
    <w:link w:val="8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34">
    <w:name w:val="标题 Char"/>
    <w:basedOn w:val="16"/>
    <w:link w:val="12"/>
    <w:qFormat/>
    <w:locked/>
    <w:uiPriority w:val="99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35">
    <w:name w:val="emtidy-1"/>
    <w:basedOn w:val="16"/>
    <w:qFormat/>
    <w:uiPriority w:val="99"/>
    <w:rPr>
      <w:rFonts w:cs="Times New Roman"/>
    </w:rPr>
  </w:style>
  <w:style w:type="character" w:customStyle="1" w:styleId="36">
    <w:name w:val="emtidy-3"/>
    <w:basedOn w:val="16"/>
    <w:qFormat/>
    <w:uiPriority w:val="99"/>
    <w:rPr>
      <w:rFonts w:cs="Times New Roman"/>
    </w:rPr>
  </w:style>
  <w:style w:type="character" w:customStyle="1" w:styleId="37">
    <w:name w:val="emtidy-4"/>
    <w:basedOn w:val="16"/>
    <w:qFormat/>
    <w:uiPriority w:val="99"/>
    <w:rPr>
      <w:rFonts w:cs="Times New Roman"/>
    </w:rPr>
  </w:style>
  <w:style w:type="paragraph" w:customStyle="1" w:styleId="38">
    <w:name w:val="正文1 New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9">
    <w:name w:val="段"/>
    <w:link w:val="40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2"/>
      <w:szCs w:val="22"/>
      <w:lang w:val="en-US" w:eastAsia="zh-CN" w:bidi="ar-SA"/>
    </w:rPr>
  </w:style>
  <w:style w:type="character" w:customStyle="1" w:styleId="40">
    <w:name w:val="段 Char"/>
    <w:link w:val="39"/>
    <w:qFormat/>
    <w:locked/>
    <w:uiPriority w:val="99"/>
    <w:rPr>
      <w:rFonts w:ascii="宋体" w:hAnsi="Times New Roman"/>
      <w:sz w:val="22"/>
      <w:szCs w:val="22"/>
      <w:lang w:bidi="ar-SA"/>
    </w:rPr>
  </w:style>
  <w:style w:type="character" w:customStyle="1" w:styleId="41">
    <w:name w:val="日期 Char"/>
    <w:basedOn w:val="16"/>
    <w:link w:val="7"/>
    <w:semiHidden/>
    <w:qFormat/>
    <w:uiPriority w:val="99"/>
    <w:rPr>
      <w:kern w:val="2"/>
      <w:sz w:val="21"/>
      <w:szCs w:val="24"/>
    </w:rPr>
  </w:style>
  <w:style w:type="paragraph" w:customStyle="1" w:styleId="4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  <w:style w:type="character" w:customStyle="1" w:styleId="43">
    <w:name w:val="正文首行缩进 2 Char"/>
    <w:basedOn w:val="28"/>
    <w:link w:val="13"/>
    <w:qFormat/>
    <w:uiPriority w:val="0"/>
    <w:rPr>
      <w:kern w:val="2"/>
      <w:sz w:val="21"/>
    </w:rPr>
  </w:style>
  <w:style w:type="paragraph" w:customStyle="1" w:styleId="4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4EA0D-3D95-4B4F-BE36-20CB7C6F8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2019-11-18T08:16:00Z</dcterms:created>
  <dc:creator>微软用户</dc:creator>
  <cp:lastModifiedBy>Administrator</cp:lastModifiedBy>
  <cp:lastPrinted>2019-10-27T05:57:00Z</cp:lastPrinted>
  <dcterms:modified xsi:type="dcterms:W3CDTF">2025-05-19T09:01:57Z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28A3B4D405C5425F8B09D5A7390F5E7E</vt:lpwstr>
  </property>
</Properties>
</file>