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val="en-US" w:eastAsia="zh-Hans"/>
        </w:rPr>
      </w:pPr>
      <w:r>
        <w:rPr>
          <w:rFonts w:hint="eastAsia" w:ascii="方正小标宋简体" w:hAnsi="方正小标宋简体" w:eastAsia="方正小标宋简体" w:cs="方正小标宋简体"/>
          <w:sz w:val="40"/>
          <w:szCs w:val="48"/>
          <w:lang w:val="en-US" w:eastAsia="zh-Hans"/>
        </w:rPr>
        <w:t>淄博市自然资源和规划局</w:t>
      </w:r>
      <w:r>
        <w:rPr>
          <w:rFonts w:hint="eastAsia" w:ascii="方正小标宋简体" w:hAnsi="方正小标宋简体" w:eastAsia="方正小标宋简体" w:cs="方正小标宋简体"/>
          <w:sz w:val="40"/>
          <w:szCs w:val="48"/>
          <w:lang w:eastAsia="zh-Hans"/>
        </w:rPr>
        <w:t>2020</w:t>
      </w:r>
      <w:r>
        <w:rPr>
          <w:rFonts w:hint="eastAsia" w:ascii="方正小标宋简体" w:hAnsi="方正小标宋简体" w:eastAsia="方正小标宋简体" w:cs="方正小标宋简体"/>
          <w:sz w:val="40"/>
          <w:szCs w:val="48"/>
          <w:lang w:val="en-US" w:eastAsia="zh-Hans"/>
        </w:rPr>
        <w:t>年政府信息公开</w:t>
      </w:r>
    </w:p>
    <w:p>
      <w:pPr>
        <w:jc w:val="center"/>
        <w:rPr>
          <w:rFonts w:hint="eastAsia" w:ascii="方正小标宋简体" w:hAnsi="方正小标宋简体" w:eastAsia="方正小标宋简体" w:cs="方正小标宋简体"/>
          <w:sz w:val="40"/>
          <w:szCs w:val="48"/>
          <w:lang w:val="en-US" w:eastAsia="zh-Hans"/>
        </w:rPr>
      </w:pPr>
      <w:r>
        <w:rPr>
          <w:rFonts w:hint="eastAsia" w:ascii="方正小标宋简体" w:hAnsi="方正小标宋简体" w:eastAsia="方正小标宋简体" w:cs="方正小标宋简体"/>
          <w:sz w:val="40"/>
          <w:szCs w:val="48"/>
          <w:lang w:val="en-US" w:eastAsia="zh-Hans"/>
        </w:rPr>
        <w:t>工作年度报告</w:t>
      </w:r>
    </w:p>
    <w:p>
      <w:pPr>
        <w:ind w:firstLine="640" w:firstLineChars="200"/>
        <w:jc w:val="both"/>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淄博市自然资源和规划局汇总淄博市</w:t>
      </w:r>
      <w:r>
        <w:rPr>
          <w:rFonts w:hint="default" w:ascii="仿宋_GB2312" w:hAnsi="仿宋_GB2312" w:eastAsia="仿宋_GB2312" w:cs="仿宋_GB2312"/>
          <w:sz w:val="32"/>
          <w:szCs w:val="32"/>
          <w:lang w:eastAsia="zh-Hans"/>
        </w:rPr>
        <w:t>2020</w:t>
      </w:r>
      <w:r>
        <w:rPr>
          <w:rFonts w:hint="eastAsia" w:ascii="仿宋_GB2312" w:hAnsi="仿宋_GB2312" w:eastAsia="仿宋_GB2312" w:cs="仿宋_GB2312"/>
          <w:sz w:val="32"/>
          <w:szCs w:val="32"/>
          <w:lang w:val="en-US" w:eastAsia="zh-Hans"/>
        </w:rPr>
        <w:t>年政府信息公开工作年度报告，编制本报告。</w:t>
      </w:r>
    </w:p>
    <w:p>
      <w:pPr>
        <w:numPr>
          <w:ilvl w:val="0"/>
          <w:numId w:val="1"/>
        </w:numPr>
        <w:jc w:val="both"/>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总体情况</w:t>
      </w:r>
    </w:p>
    <w:p>
      <w:pPr>
        <w:numPr>
          <w:ilvl w:val="0"/>
          <w:numId w:val="0"/>
        </w:numPr>
        <w:ind w:firstLine="640"/>
        <w:jc w:val="both"/>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今年以来，淄博市自然资源和规划局在市政府的指导下，以习近平新时代中国特色社会主义思想为指导，按照《中华人民共和国政府信息公开条例》、《山东省人民政府办公厅关于印发</w:t>
      </w:r>
      <w:r>
        <w:rPr>
          <w:rFonts w:hint="default" w:ascii="仿宋_GB2312" w:hAnsi="仿宋_GB2312" w:eastAsia="仿宋_GB2312" w:cs="仿宋_GB2312"/>
          <w:sz w:val="32"/>
          <w:szCs w:val="32"/>
          <w:lang w:eastAsia="zh-Hans"/>
        </w:rPr>
        <w:t>2020</w:t>
      </w:r>
      <w:r>
        <w:rPr>
          <w:rFonts w:hint="eastAsia" w:ascii="仿宋_GB2312" w:hAnsi="仿宋_GB2312" w:eastAsia="仿宋_GB2312" w:cs="仿宋_GB2312"/>
          <w:sz w:val="32"/>
          <w:szCs w:val="32"/>
          <w:lang w:val="en-US" w:eastAsia="zh-Hans"/>
        </w:rPr>
        <w:t>年山东省政务公开工作要点的通知》（鲁政办字〔2020〕78号）、《淄博市人民政府办公室关于印发淄博市</w:t>
      </w:r>
      <w:r>
        <w:rPr>
          <w:rFonts w:hint="default" w:ascii="仿宋_GB2312" w:hAnsi="仿宋_GB2312" w:eastAsia="仿宋_GB2312" w:cs="仿宋_GB2312"/>
          <w:sz w:val="32"/>
          <w:szCs w:val="32"/>
          <w:lang w:eastAsia="zh-Hans"/>
        </w:rPr>
        <w:t>2020</w:t>
      </w:r>
      <w:r>
        <w:rPr>
          <w:rFonts w:hint="eastAsia" w:ascii="仿宋_GB2312" w:hAnsi="仿宋_GB2312" w:eastAsia="仿宋_GB2312" w:cs="仿宋_GB2312"/>
          <w:sz w:val="32"/>
          <w:szCs w:val="32"/>
          <w:lang w:val="en-US" w:eastAsia="zh-Hans"/>
        </w:rPr>
        <w:t>年政务公开工作要点的通知》（淄政办字〔2020〕67号）全面完成国家、省政务公开年度工作要点部署的各项任务，补短板，强基础，着力强化公开、解读、发布、互动全流程联动，全面提升政务公开质量和实效，提升群众幸福感和满意度。</w:t>
      </w:r>
    </w:p>
    <w:p>
      <w:pPr>
        <w:numPr>
          <w:ilvl w:val="0"/>
          <w:numId w:val="2"/>
        </w:numPr>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主动公开方面</w:t>
      </w:r>
    </w:p>
    <w:p>
      <w:pPr>
        <w:numPr>
          <w:ilvl w:val="0"/>
          <w:numId w:val="0"/>
        </w:numPr>
        <w:ind w:firstLine="640"/>
        <w:jc w:val="both"/>
        <w:rPr>
          <w:rFonts w:hint="default" w:ascii="仿宋_GB2312" w:hAnsi="仿宋_GB2312" w:eastAsia="仿宋_GB2312" w:cs="仿宋_GB2312"/>
          <w:sz w:val="32"/>
          <w:szCs w:val="32"/>
          <w:lang w:eastAsia="zh-Hans"/>
        </w:rPr>
      </w:pPr>
      <w:r>
        <w:rPr>
          <w:rFonts w:hint="default" w:ascii="仿宋_GB2312" w:hAnsi="仿宋_GB2312" w:eastAsia="仿宋_GB2312" w:cs="仿宋_GB2312"/>
          <w:sz w:val="32"/>
          <w:szCs w:val="32"/>
          <w:lang w:eastAsia="zh-Hans"/>
        </w:rPr>
        <w:t>深入推进政府信息主动公开。根据我局机构改革情况，及时更新公布机关职能、机构设置、联系方式和相关负责人等信息。紧密围绕</w:t>
      </w:r>
      <w:r>
        <w:rPr>
          <w:rFonts w:hint="eastAsia" w:ascii="仿宋_GB2312" w:hAnsi="仿宋_GB2312" w:eastAsia="仿宋_GB2312" w:cs="仿宋_GB2312"/>
          <w:sz w:val="32"/>
          <w:szCs w:val="32"/>
          <w:lang w:val="en-US" w:eastAsia="zh-Hans"/>
        </w:rPr>
        <w:t>自然资源市场交易、土地征收、城乡规划、林业工作、地质灾害防治</w:t>
      </w:r>
      <w:r>
        <w:rPr>
          <w:rFonts w:hint="default" w:ascii="仿宋_GB2312" w:hAnsi="仿宋_GB2312" w:eastAsia="仿宋_GB2312" w:cs="仿宋_GB2312"/>
          <w:sz w:val="32"/>
          <w:szCs w:val="32"/>
          <w:lang w:eastAsia="zh-Hans"/>
        </w:rPr>
        <w:t>等重点</w:t>
      </w:r>
      <w:r>
        <w:rPr>
          <w:rFonts w:hint="eastAsia" w:ascii="仿宋_GB2312" w:hAnsi="仿宋_GB2312" w:eastAsia="仿宋_GB2312" w:cs="仿宋_GB2312"/>
          <w:sz w:val="32"/>
          <w:szCs w:val="32"/>
          <w:lang w:val="en-US" w:eastAsia="zh-Hans"/>
        </w:rPr>
        <w:t>工作部署</w:t>
      </w:r>
      <w:r>
        <w:rPr>
          <w:rFonts w:hint="default" w:ascii="仿宋_GB2312" w:hAnsi="仿宋_GB2312" w:eastAsia="仿宋_GB2312" w:cs="仿宋_GB2312"/>
          <w:sz w:val="32"/>
          <w:szCs w:val="32"/>
          <w:lang w:eastAsia="zh-Hans"/>
        </w:rPr>
        <w:t>，及时根据工作开展情况公开信息，及时高效做好政务信息发布工作。2020年，我局通过微博</w:t>
      </w:r>
      <w:r>
        <w:rPr>
          <w:rFonts w:hint="eastAsia" w:ascii="仿宋_GB2312" w:hAnsi="仿宋_GB2312" w:eastAsia="仿宋_GB2312" w:cs="仿宋_GB2312"/>
          <w:sz w:val="32"/>
          <w:szCs w:val="32"/>
          <w:lang w:val="en-US" w:eastAsia="zh-Hans"/>
        </w:rPr>
        <w:t>原创、转发信息</w:t>
      </w:r>
      <w:r>
        <w:rPr>
          <w:rFonts w:hint="default" w:ascii="仿宋_GB2312" w:hAnsi="仿宋_GB2312" w:eastAsia="仿宋_GB2312" w:cs="仿宋_GB2312"/>
          <w:sz w:val="32"/>
          <w:szCs w:val="32"/>
          <w:lang w:eastAsia="zh-Hans"/>
        </w:rPr>
        <w:t>448条。通过网站发布信息2087条，通过微信发布信息753条。共承办代表建议和政协提案40件，其中市人大代表建议16件、市政协委员提案24件。2020年承办的40件建议提案</w:t>
      </w:r>
      <w:r>
        <w:rPr>
          <w:rFonts w:hint="eastAsia" w:ascii="仿宋_GB2312" w:hAnsi="仿宋_GB2312" w:eastAsia="仿宋_GB2312" w:cs="仿宋_GB2312"/>
          <w:sz w:val="32"/>
          <w:szCs w:val="32"/>
          <w:lang w:val="en-US" w:eastAsia="zh-Hans"/>
        </w:rPr>
        <w:t>采取集中</w:t>
      </w:r>
      <w:r>
        <w:rPr>
          <w:rFonts w:hint="default" w:ascii="仿宋_GB2312" w:hAnsi="仿宋_GB2312" w:eastAsia="仿宋_GB2312" w:cs="仿宋_GB2312"/>
          <w:sz w:val="32"/>
          <w:szCs w:val="32"/>
          <w:lang w:eastAsia="zh-Hans"/>
        </w:rPr>
        <w:t>进行面对面答复，建议提案办结率、面复率和办理满意率均为100％</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办理结果均在法定主动公开目录“建议提案办理”中公示</w:t>
      </w:r>
      <w:r>
        <w:rPr>
          <w:rFonts w:hint="default" w:ascii="仿宋_GB2312" w:hAnsi="仿宋_GB2312" w:eastAsia="仿宋_GB2312" w:cs="仿宋_GB2312"/>
          <w:sz w:val="32"/>
          <w:szCs w:val="32"/>
          <w:lang w:eastAsia="zh-Hans"/>
        </w:rPr>
        <w:t>。完善</w:t>
      </w:r>
      <w:r>
        <w:rPr>
          <w:rFonts w:hint="eastAsia" w:ascii="仿宋_GB2312" w:hAnsi="仿宋_GB2312" w:eastAsia="仿宋_GB2312" w:cs="仿宋_GB2312"/>
          <w:sz w:val="32"/>
          <w:szCs w:val="32"/>
          <w:lang w:val="en-US" w:eastAsia="zh-Hans"/>
        </w:rPr>
        <w:t>淄博市自然资源和规划局</w:t>
      </w:r>
      <w:r>
        <w:rPr>
          <w:rFonts w:hint="default" w:ascii="仿宋_GB2312" w:hAnsi="仿宋_GB2312" w:eastAsia="仿宋_GB2312" w:cs="仿宋_GB2312"/>
          <w:sz w:val="32"/>
          <w:szCs w:val="32"/>
          <w:lang w:eastAsia="zh-Hans"/>
        </w:rPr>
        <w:t>政府信息公开目录，及时公开财政预决算、人事信息</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工作动态、重要决策部署、政策文件</w:t>
      </w:r>
      <w:r>
        <w:rPr>
          <w:rFonts w:hint="default" w:ascii="仿宋_GB2312" w:hAnsi="仿宋_GB2312" w:eastAsia="仿宋_GB2312" w:cs="仿宋_GB2312"/>
          <w:sz w:val="32"/>
          <w:szCs w:val="32"/>
          <w:lang w:eastAsia="zh-Hans"/>
        </w:rPr>
        <w:t>等内容，每年定期发布政府信息公开年报和网站工作报表。同时，结合工作实际，围绕</w:t>
      </w:r>
      <w:r>
        <w:rPr>
          <w:rFonts w:hint="eastAsia" w:ascii="仿宋_GB2312" w:hAnsi="仿宋_GB2312" w:eastAsia="仿宋_GB2312" w:cs="仿宋_GB2312"/>
          <w:sz w:val="32"/>
          <w:szCs w:val="32"/>
          <w:lang w:val="en-US" w:eastAsia="zh-Hans"/>
        </w:rPr>
        <w:t>地质灾害防治、保护耕地、森林防火</w:t>
      </w:r>
      <w:r>
        <w:rPr>
          <w:rFonts w:hint="default" w:ascii="仿宋_GB2312" w:hAnsi="仿宋_GB2312" w:eastAsia="仿宋_GB2312" w:cs="仿宋_GB2312"/>
          <w:sz w:val="32"/>
          <w:szCs w:val="32"/>
          <w:lang w:eastAsia="zh-Hans"/>
        </w:rPr>
        <w:t>知识普及推进信息公开，运用</w:t>
      </w:r>
      <w:r>
        <w:rPr>
          <w:rFonts w:hint="eastAsia" w:ascii="仿宋_GB2312" w:hAnsi="仿宋_GB2312" w:eastAsia="仿宋_GB2312" w:cs="仿宋_GB2312"/>
          <w:sz w:val="32"/>
          <w:szCs w:val="32"/>
          <w:lang w:val="en-US" w:eastAsia="zh-Hans"/>
        </w:rPr>
        <w:t>广电媒体</w:t>
      </w:r>
      <w:r>
        <w:rPr>
          <w:rFonts w:hint="default" w:ascii="仿宋_GB2312" w:hAnsi="仿宋_GB2312" w:eastAsia="仿宋_GB2312" w:cs="仿宋_GB2312"/>
          <w:sz w:val="32"/>
          <w:szCs w:val="32"/>
          <w:lang w:eastAsia="zh-Hans"/>
        </w:rPr>
        <w:t>、电视</w:t>
      </w:r>
      <w:r>
        <w:rPr>
          <w:rFonts w:hint="eastAsia" w:ascii="仿宋_GB2312" w:hAnsi="仿宋_GB2312" w:eastAsia="仿宋_GB2312" w:cs="仿宋_GB2312"/>
          <w:sz w:val="32"/>
          <w:szCs w:val="32"/>
          <w:lang w:val="en-US" w:eastAsia="zh-Hans"/>
        </w:rPr>
        <w:t>新闻</w:t>
      </w:r>
      <w:r>
        <w:rPr>
          <w:rFonts w:hint="default" w:ascii="仿宋_GB2312" w:hAnsi="仿宋_GB2312" w:eastAsia="仿宋_GB2312" w:cs="仿宋_GB2312"/>
          <w:sz w:val="32"/>
          <w:szCs w:val="32"/>
          <w:lang w:eastAsia="zh-Hans"/>
        </w:rPr>
        <w:t>、报纸</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网络新媒体</w:t>
      </w:r>
      <w:r>
        <w:rPr>
          <w:rFonts w:hint="default" w:ascii="仿宋_GB2312" w:hAnsi="仿宋_GB2312" w:eastAsia="仿宋_GB2312" w:cs="仿宋_GB2312"/>
          <w:sz w:val="32"/>
          <w:szCs w:val="32"/>
          <w:lang w:eastAsia="zh-Hans"/>
        </w:rPr>
        <w:t>等宣传平台做好多维度宣传工作，进一步推动提高公众风险防范意识。</w:t>
      </w:r>
    </w:p>
    <w:p>
      <w:pPr>
        <w:numPr>
          <w:ilvl w:val="0"/>
          <w:numId w:val="0"/>
        </w:numPr>
        <w:jc w:val="both"/>
        <w:rPr>
          <w:rFonts w:hint="eastAsia" w:ascii="仿宋_GB2312" w:hAnsi="仿宋_GB2312" w:eastAsia="仿宋_GB2312" w:cs="仿宋_GB2312"/>
          <w:sz w:val="32"/>
          <w:szCs w:val="32"/>
          <w:lang w:eastAsia="zh-Hans"/>
        </w:rPr>
      </w:pPr>
      <w:r>
        <w:drawing>
          <wp:inline distT="0" distB="0" distL="114300" distR="114300">
            <wp:extent cx="5237480" cy="3168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37480" cy="3168015"/>
                    </a:xfrm>
                    <a:prstGeom prst="rect">
                      <a:avLst/>
                    </a:prstGeom>
                    <a:noFill/>
                    <a:ln w="9525">
                      <a:noFill/>
                    </a:ln>
                  </pic:spPr>
                </pic:pic>
              </a:graphicData>
            </a:graphic>
          </wp:inline>
        </w:drawing>
      </w:r>
    </w:p>
    <w:p>
      <w:pPr>
        <w:numPr>
          <w:ilvl w:val="0"/>
          <w:numId w:val="2"/>
        </w:numPr>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依申请公开方面</w:t>
      </w:r>
    </w:p>
    <w:p>
      <w:pPr>
        <w:numPr>
          <w:ilvl w:val="0"/>
          <w:numId w:val="0"/>
        </w:numPr>
        <w:ind w:firstLine="640" w:firstLineChars="200"/>
        <w:jc w:val="both"/>
        <w:rPr>
          <w:rFonts w:hint="eastAsia" w:ascii="仿宋_GB2312" w:hAnsi="仿宋_GB2312" w:eastAsia="仿宋_GB2312" w:cs="仿宋_GB2312"/>
          <w:strike w:val="0"/>
          <w:dstrike w:val="0"/>
          <w:sz w:val="32"/>
          <w:szCs w:val="32"/>
          <w:lang w:eastAsia="zh-Hans"/>
        </w:rPr>
      </w:pPr>
      <w:r>
        <w:rPr>
          <w:rFonts w:hint="eastAsia" w:ascii="仿宋_GB2312" w:hAnsi="仿宋_GB2312" w:eastAsia="仿宋_GB2312" w:cs="仿宋_GB2312"/>
          <w:strike w:val="0"/>
          <w:dstrike w:val="0"/>
          <w:sz w:val="32"/>
          <w:szCs w:val="32"/>
          <w:lang w:eastAsia="zh-Hans"/>
        </w:rPr>
        <w:t>2020年新收政府信息公开申请</w:t>
      </w:r>
      <w:r>
        <w:rPr>
          <w:rFonts w:hint="default" w:ascii="仿宋_GB2312" w:hAnsi="仿宋_GB2312" w:eastAsia="仿宋_GB2312" w:cs="仿宋_GB2312"/>
          <w:strike w:val="0"/>
          <w:dstrike w:val="0"/>
          <w:sz w:val="32"/>
          <w:szCs w:val="32"/>
          <w:lang w:eastAsia="zh-Hans"/>
        </w:rPr>
        <w:t>91</w:t>
      </w:r>
      <w:r>
        <w:rPr>
          <w:rFonts w:hint="eastAsia" w:ascii="仿宋_GB2312" w:hAnsi="仿宋_GB2312" w:eastAsia="仿宋_GB2312" w:cs="仿宋_GB2312"/>
          <w:strike w:val="0"/>
          <w:dstrike w:val="0"/>
          <w:sz w:val="32"/>
          <w:szCs w:val="32"/>
          <w:lang w:val="en-US" w:eastAsia="zh-Hans"/>
        </w:rPr>
        <w:t>件，</w:t>
      </w:r>
      <w:r>
        <w:rPr>
          <w:rFonts w:hint="eastAsia" w:ascii="仿宋_GB2312" w:hAnsi="仿宋_GB2312" w:eastAsia="仿宋_GB2312" w:cs="仿宋_GB2312"/>
          <w:strike w:val="0"/>
          <w:dstrike w:val="0"/>
          <w:sz w:val="32"/>
          <w:szCs w:val="32"/>
          <w:lang w:eastAsia="zh-Hans"/>
        </w:rPr>
        <w:t>已办理</w:t>
      </w:r>
      <w:r>
        <w:rPr>
          <w:rFonts w:hint="default" w:ascii="仿宋_GB2312" w:hAnsi="仿宋_GB2312" w:eastAsia="仿宋_GB2312" w:cs="仿宋_GB2312"/>
          <w:strike w:val="0"/>
          <w:dstrike w:val="0"/>
          <w:sz w:val="32"/>
          <w:szCs w:val="32"/>
          <w:lang w:eastAsia="zh-Hans"/>
        </w:rPr>
        <w:t>87</w:t>
      </w:r>
      <w:r>
        <w:rPr>
          <w:rFonts w:hint="eastAsia" w:ascii="仿宋_GB2312" w:hAnsi="仿宋_GB2312" w:eastAsia="仿宋_GB2312" w:cs="仿宋_GB2312"/>
          <w:strike w:val="0"/>
          <w:dstrike w:val="0"/>
          <w:sz w:val="32"/>
          <w:szCs w:val="32"/>
          <w:lang w:val="en-US" w:eastAsia="zh-Hans"/>
        </w:rPr>
        <w:t>件</w:t>
      </w:r>
      <w:r>
        <w:rPr>
          <w:rFonts w:hint="eastAsia" w:ascii="仿宋_GB2312" w:hAnsi="仿宋_GB2312" w:eastAsia="仿宋_GB2312" w:cs="仿宋_GB2312"/>
          <w:strike w:val="0"/>
          <w:dstrike w:val="0"/>
          <w:sz w:val="32"/>
          <w:szCs w:val="32"/>
          <w:lang w:eastAsia="zh-Hans"/>
        </w:rPr>
        <w:t>，</w:t>
      </w:r>
      <w:r>
        <w:rPr>
          <w:rFonts w:hint="eastAsia" w:ascii="仿宋_GB2312" w:hAnsi="仿宋_GB2312" w:eastAsia="仿宋_GB2312" w:cs="仿宋_GB2312"/>
          <w:strike w:val="0"/>
          <w:dstrike w:val="0"/>
          <w:sz w:val="32"/>
          <w:szCs w:val="32"/>
          <w:lang w:val="en-US" w:eastAsia="zh-Hans"/>
        </w:rPr>
        <w:t>结转下年度继续办理</w:t>
      </w:r>
      <w:r>
        <w:rPr>
          <w:rFonts w:hint="default" w:ascii="仿宋_GB2312" w:hAnsi="仿宋_GB2312" w:eastAsia="仿宋_GB2312" w:cs="仿宋_GB2312"/>
          <w:strike w:val="0"/>
          <w:dstrike w:val="0"/>
          <w:sz w:val="32"/>
          <w:szCs w:val="32"/>
          <w:lang w:eastAsia="zh-Hans"/>
        </w:rPr>
        <w:t>4</w:t>
      </w:r>
      <w:r>
        <w:rPr>
          <w:rFonts w:hint="eastAsia" w:ascii="仿宋_GB2312" w:hAnsi="仿宋_GB2312" w:eastAsia="仿宋_GB2312" w:cs="仿宋_GB2312"/>
          <w:strike w:val="0"/>
          <w:dstrike w:val="0"/>
          <w:sz w:val="32"/>
          <w:szCs w:val="32"/>
          <w:lang w:val="en-US" w:eastAsia="zh-Hans"/>
        </w:rPr>
        <w:t>件</w:t>
      </w:r>
      <w:r>
        <w:rPr>
          <w:rFonts w:hint="eastAsia" w:ascii="仿宋_GB2312" w:hAnsi="仿宋_GB2312" w:eastAsia="仿宋_GB2312" w:cs="仿宋_GB2312"/>
          <w:strike w:val="0"/>
          <w:dstrike w:val="0"/>
          <w:sz w:val="32"/>
          <w:szCs w:val="32"/>
          <w:lang w:eastAsia="zh-Hans"/>
        </w:rPr>
        <w:t>。其中，</w:t>
      </w:r>
      <w:r>
        <w:rPr>
          <w:rFonts w:hint="eastAsia" w:ascii="仿宋_GB2312" w:hAnsi="仿宋_GB2312" w:eastAsia="仿宋_GB2312" w:cs="仿宋_GB2312"/>
          <w:strike w:val="0"/>
          <w:dstrike w:val="0"/>
          <w:sz w:val="32"/>
          <w:szCs w:val="32"/>
          <w:lang w:val="en-US" w:eastAsia="zh-Hans"/>
        </w:rPr>
        <w:t>自然人申请的信息公开数量为</w:t>
      </w:r>
      <w:r>
        <w:rPr>
          <w:rFonts w:hint="default" w:ascii="仿宋_GB2312" w:hAnsi="仿宋_GB2312" w:eastAsia="仿宋_GB2312" w:cs="仿宋_GB2312"/>
          <w:strike w:val="0"/>
          <w:dstrike w:val="0"/>
          <w:sz w:val="32"/>
          <w:szCs w:val="32"/>
          <w:lang w:eastAsia="zh-Hans"/>
        </w:rPr>
        <w:t>88</w:t>
      </w:r>
      <w:r>
        <w:rPr>
          <w:rFonts w:hint="eastAsia" w:ascii="仿宋_GB2312" w:hAnsi="仿宋_GB2312" w:eastAsia="仿宋_GB2312" w:cs="仿宋_GB2312"/>
          <w:strike w:val="0"/>
          <w:dstrike w:val="0"/>
          <w:sz w:val="32"/>
          <w:szCs w:val="32"/>
          <w:lang w:val="en-US" w:eastAsia="zh-Hans"/>
        </w:rPr>
        <w:t>件，法人或其他组织申请公开数量为</w:t>
      </w:r>
      <w:r>
        <w:rPr>
          <w:rFonts w:hint="default" w:ascii="仿宋_GB2312" w:hAnsi="仿宋_GB2312" w:eastAsia="仿宋_GB2312" w:cs="仿宋_GB2312"/>
          <w:strike w:val="0"/>
          <w:dstrike w:val="0"/>
          <w:sz w:val="32"/>
          <w:szCs w:val="32"/>
          <w:lang w:eastAsia="zh-Hans"/>
        </w:rPr>
        <w:t>3</w:t>
      </w:r>
      <w:r>
        <w:rPr>
          <w:rFonts w:hint="eastAsia" w:ascii="仿宋_GB2312" w:hAnsi="仿宋_GB2312" w:eastAsia="仿宋_GB2312" w:cs="仿宋_GB2312"/>
          <w:strike w:val="0"/>
          <w:dstrike w:val="0"/>
          <w:sz w:val="32"/>
          <w:szCs w:val="32"/>
          <w:lang w:val="en-US" w:eastAsia="zh-Hans"/>
        </w:rPr>
        <w:t>件</w:t>
      </w:r>
      <w:r>
        <w:rPr>
          <w:rFonts w:hint="eastAsia" w:ascii="仿宋_GB2312" w:hAnsi="仿宋_GB2312" w:eastAsia="仿宋_GB2312" w:cs="仿宋_GB2312"/>
          <w:strike w:val="0"/>
          <w:dstrike w:val="0"/>
          <w:sz w:val="32"/>
          <w:szCs w:val="32"/>
          <w:lang w:eastAsia="zh-Hans"/>
        </w:rPr>
        <w:t>。上述信息公开申请的内容主要涉及土地征收及补偿文件、用地规划信息、不动产登记信息等方面，均已在法定期限内答复申请人。</w:t>
      </w:r>
    </w:p>
    <w:p>
      <w:pPr>
        <w:numPr>
          <w:ilvl w:val="0"/>
          <w:numId w:val="0"/>
        </w:numPr>
        <w:ind w:firstLine="420" w:firstLineChars="200"/>
        <w:jc w:val="both"/>
        <w:rPr>
          <w:rFonts w:hint="eastAsia" w:ascii="仿宋_GB2312" w:hAnsi="仿宋_GB2312" w:eastAsia="仿宋_GB2312" w:cs="仿宋_GB2312"/>
          <w:strike w:val="0"/>
          <w:dstrike w:val="0"/>
          <w:sz w:val="32"/>
          <w:szCs w:val="32"/>
          <w:lang w:eastAsia="zh-Hans"/>
        </w:rPr>
      </w:pPr>
      <w:r>
        <w:drawing>
          <wp:inline distT="0" distB="0" distL="114300" distR="114300">
            <wp:extent cx="4863465" cy="4464050"/>
            <wp:effectExtent l="0" t="0" r="13335" b="635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5"/>
                    <a:stretch>
                      <a:fillRect/>
                    </a:stretch>
                  </pic:blipFill>
                  <pic:spPr>
                    <a:xfrm>
                      <a:off x="0" y="0"/>
                      <a:ext cx="4863465" cy="4464050"/>
                    </a:xfrm>
                    <a:prstGeom prst="rect">
                      <a:avLst/>
                    </a:prstGeom>
                    <a:noFill/>
                    <a:ln w="9525">
                      <a:noFill/>
                    </a:ln>
                  </pic:spPr>
                </pic:pic>
              </a:graphicData>
            </a:graphic>
          </wp:inline>
        </w:drawing>
      </w:r>
    </w:p>
    <w:p>
      <w:pPr>
        <w:numPr>
          <w:ilvl w:val="0"/>
          <w:numId w:val="2"/>
        </w:numPr>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政府信息管理方面</w:t>
      </w:r>
    </w:p>
    <w:p>
      <w:pPr>
        <w:numPr>
          <w:ilvl w:val="0"/>
          <w:numId w:val="0"/>
        </w:numPr>
        <w:ind w:firstLine="640" w:firstLineChars="200"/>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继续落实《淄博市人民政府办公室关于印发淄博市2020年政务公开工作要点的通知》，将公文公开属性源头认定和发布审查嵌入发文流程。2020年，经政务公开工作机构审核的市政府公文</w:t>
      </w:r>
      <w:r>
        <w:rPr>
          <w:rFonts w:hint="default" w:ascii="仿宋_GB2312" w:hAnsi="仿宋_GB2312" w:eastAsia="仿宋_GB2312" w:cs="仿宋_GB2312"/>
          <w:sz w:val="32"/>
          <w:szCs w:val="32"/>
          <w:lang w:eastAsia="zh-Hans"/>
        </w:rPr>
        <w:t>376</w:t>
      </w:r>
      <w:r>
        <w:rPr>
          <w:rFonts w:hint="eastAsia" w:ascii="仿宋_GB2312" w:hAnsi="仿宋_GB2312" w:eastAsia="仿宋_GB2312" w:cs="仿宋_GB2312"/>
          <w:sz w:val="32"/>
          <w:szCs w:val="32"/>
          <w:lang w:eastAsia="zh-Hans"/>
        </w:rPr>
        <w:t>件，主动公开</w:t>
      </w:r>
      <w:r>
        <w:rPr>
          <w:rFonts w:hint="default" w:ascii="仿宋_GB2312" w:hAnsi="仿宋_GB2312" w:eastAsia="仿宋_GB2312" w:cs="仿宋_GB2312"/>
          <w:sz w:val="32"/>
          <w:szCs w:val="32"/>
          <w:lang w:eastAsia="zh-Hans"/>
        </w:rPr>
        <w:t>41</w:t>
      </w:r>
      <w:r>
        <w:rPr>
          <w:rFonts w:hint="eastAsia" w:ascii="仿宋_GB2312" w:hAnsi="仿宋_GB2312" w:eastAsia="仿宋_GB2312" w:cs="仿宋_GB2312"/>
          <w:sz w:val="32"/>
          <w:szCs w:val="32"/>
          <w:lang w:eastAsia="zh-Hans"/>
        </w:rPr>
        <w:t>件，</w:t>
      </w:r>
      <w:r>
        <w:rPr>
          <w:rFonts w:hint="eastAsia" w:ascii="仿宋_GB2312" w:hAnsi="仿宋_GB2312" w:eastAsia="仿宋_GB2312" w:cs="仿宋_GB2312"/>
          <w:sz w:val="32"/>
          <w:szCs w:val="32"/>
          <w:lang w:val="en-US" w:eastAsia="zh-Hans"/>
        </w:rPr>
        <w:t>发布政策解读</w:t>
      </w:r>
      <w:r>
        <w:rPr>
          <w:rFonts w:hint="default" w:ascii="仿宋_GB2312" w:hAnsi="仿宋_GB2312" w:eastAsia="仿宋_GB2312" w:cs="仿宋_GB2312"/>
          <w:sz w:val="32"/>
          <w:szCs w:val="32"/>
          <w:lang w:eastAsia="zh-Hans"/>
        </w:rPr>
        <w:t>5</w:t>
      </w:r>
      <w:r>
        <w:rPr>
          <w:rFonts w:hint="eastAsia" w:ascii="仿宋_GB2312" w:hAnsi="仿宋_GB2312" w:eastAsia="仿宋_GB2312" w:cs="仿宋_GB2312"/>
          <w:sz w:val="32"/>
          <w:szCs w:val="32"/>
          <w:lang w:val="en-US" w:eastAsia="zh-Hans"/>
        </w:rPr>
        <w:t>条</w:t>
      </w:r>
      <w:r>
        <w:rPr>
          <w:rFonts w:hint="eastAsia" w:ascii="仿宋_GB2312" w:hAnsi="仿宋_GB2312" w:eastAsia="仿宋_GB2312" w:cs="仿宋_GB2312"/>
          <w:sz w:val="32"/>
          <w:szCs w:val="32"/>
          <w:lang w:eastAsia="zh-Hans"/>
        </w:rPr>
        <w:t>。加强组织和指导，推进政务公开标准化目录编制工作。2020年</w:t>
      </w:r>
      <w:r>
        <w:rPr>
          <w:rFonts w:hint="eastAsia" w:ascii="仿宋_GB2312" w:hAnsi="仿宋_GB2312" w:eastAsia="仿宋_GB2312" w:cs="仿宋_GB2312"/>
          <w:sz w:val="32"/>
          <w:szCs w:val="32"/>
          <w:lang w:val="en-US" w:eastAsia="zh-Hans"/>
        </w:rPr>
        <w:t>中</w:t>
      </w:r>
      <w:r>
        <w:rPr>
          <w:rFonts w:hint="eastAsia" w:ascii="仿宋_GB2312" w:hAnsi="仿宋_GB2312" w:eastAsia="仿宋_GB2312" w:cs="仿宋_GB2312"/>
          <w:sz w:val="32"/>
          <w:szCs w:val="32"/>
          <w:lang w:eastAsia="zh-Hans"/>
        </w:rPr>
        <w:t>，开展政务公开事项梳理和公开标准目录编制工作，到1</w:t>
      </w:r>
      <w:r>
        <w:rPr>
          <w:rFonts w:hint="default"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lang w:val="en-US" w:eastAsia="zh-Hans"/>
        </w:rPr>
        <w:t>初</w:t>
      </w:r>
      <w:r>
        <w:rPr>
          <w:rFonts w:hint="eastAsia" w:ascii="仿宋_GB2312" w:hAnsi="仿宋_GB2312" w:eastAsia="仿宋_GB2312" w:cs="仿宋_GB2312"/>
          <w:sz w:val="32"/>
          <w:szCs w:val="32"/>
          <w:lang w:eastAsia="zh-Hans"/>
        </w:rPr>
        <w:t>，已完成政务公开标准目录编制</w:t>
      </w:r>
      <w:r>
        <w:rPr>
          <w:rFonts w:hint="eastAsia" w:ascii="仿宋_GB2312" w:hAnsi="仿宋_GB2312" w:eastAsia="仿宋_GB2312" w:cs="仿宋_GB2312"/>
          <w:sz w:val="32"/>
          <w:szCs w:val="32"/>
          <w:lang w:val="en-US" w:eastAsia="zh-Hans"/>
        </w:rPr>
        <w:t>发布工作。</w:t>
      </w:r>
    </w:p>
    <w:p>
      <w:pPr>
        <w:numPr>
          <w:ilvl w:val="0"/>
          <w:numId w:val="2"/>
        </w:numPr>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平台建设方面</w:t>
      </w:r>
    </w:p>
    <w:p>
      <w:pPr>
        <w:numPr>
          <w:ilvl w:val="0"/>
          <w:numId w:val="0"/>
        </w:numPr>
        <w:ind w:firstLine="640" w:firstLineChars="200"/>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加强本单位网站组织机构、工作动态、通知公告、统计数据、统计法治等栏目的审核发布，做好日常巡查和重要节假日网站技术值守管理，严防安全、泄密、无效链接等问题。按要求做好各类栏目信息发布频率管理工作，确保网站信息发布内容准确、格式规范。根据工作要求，</w:t>
      </w:r>
      <w:r>
        <w:rPr>
          <w:rFonts w:hint="eastAsia" w:ascii="仿宋_GB2312" w:hAnsi="仿宋_GB2312" w:eastAsia="仿宋_GB2312" w:cs="仿宋_GB2312"/>
          <w:sz w:val="32"/>
          <w:szCs w:val="32"/>
          <w:lang w:val="en-US" w:eastAsia="zh-Hans"/>
        </w:rPr>
        <w:t>于</w:t>
      </w:r>
      <w:r>
        <w:rPr>
          <w:rFonts w:hint="default" w:ascii="仿宋_GB2312" w:hAnsi="仿宋_GB2312" w:eastAsia="仿宋_GB2312" w:cs="仿宋_GB2312"/>
          <w:sz w:val="32"/>
          <w:szCs w:val="32"/>
          <w:lang w:eastAsia="zh-Hans"/>
        </w:rPr>
        <w:t>12</w:t>
      </w:r>
      <w:r>
        <w:rPr>
          <w:rFonts w:hint="eastAsia" w:ascii="仿宋_GB2312" w:hAnsi="仿宋_GB2312" w:eastAsia="仿宋_GB2312" w:cs="仿宋_GB2312"/>
          <w:sz w:val="32"/>
          <w:szCs w:val="32"/>
          <w:lang w:val="en-US" w:eastAsia="zh-Hans"/>
        </w:rPr>
        <w:t>月底完成</w:t>
      </w:r>
      <w:r>
        <w:rPr>
          <w:rFonts w:hint="eastAsia" w:ascii="仿宋_GB2312" w:hAnsi="仿宋_GB2312" w:eastAsia="仿宋_GB2312" w:cs="仿宋_GB2312"/>
          <w:sz w:val="32"/>
          <w:szCs w:val="32"/>
          <w:lang w:eastAsia="zh-Hans"/>
        </w:rPr>
        <w:t>政府网站改造升级，在本单位网站完成信息公开栏</w:t>
      </w:r>
      <w:r>
        <w:rPr>
          <w:rFonts w:hint="eastAsia" w:ascii="仿宋_GB2312" w:hAnsi="仿宋_GB2312" w:eastAsia="仿宋_GB2312" w:cs="仿宋_GB2312"/>
          <w:sz w:val="32"/>
          <w:szCs w:val="32"/>
          <w:lang w:val="en-US" w:eastAsia="zh-Hans"/>
        </w:rPr>
        <w:t>目数据迁移更新</w:t>
      </w:r>
      <w:r>
        <w:rPr>
          <w:rFonts w:hint="eastAsia" w:ascii="仿宋_GB2312" w:hAnsi="仿宋_GB2312" w:eastAsia="仿宋_GB2312" w:cs="仿宋_GB2312"/>
          <w:sz w:val="32"/>
          <w:szCs w:val="32"/>
          <w:lang w:eastAsia="zh-Hans"/>
        </w:rPr>
        <w:t>，做好网站后台数据与</w:t>
      </w:r>
      <w:r>
        <w:rPr>
          <w:rFonts w:hint="eastAsia" w:ascii="仿宋_GB2312" w:hAnsi="仿宋_GB2312" w:eastAsia="仿宋_GB2312" w:cs="仿宋_GB2312"/>
          <w:sz w:val="32"/>
          <w:szCs w:val="32"/>
          <w:lang w:val="en-US" w:eastAsia="zh-Hans"/>
        </w:rPr>
        <w:t>市政府</w:t>
      </w:r>
      <w:r>
        <w:rPr>
          <w:rFonts w:hint="eastAsia" w:ascii="仿宋_GB2312" w:hAnsi="仿宋_GB2312" w:eastAsia="仿宋_GB2312" w:cs="仿宋_GB2312"/>
          <w:sz w:val="32"/>
          <w:szCs w:val="32"/>
          <w:lang w:eastAsia="zh-Hans"/>
        </w:rPr>
        <w:t>信息资源库的绑定推送，强化数据、服务、应用融通。推进“</w:t>
      </w:r>
      <w:r>
        <w:rPr>
          <w:rFonts w:hint="eastAsia" w:ascii="仿宋_GB2312" w:hAnsi="仿宋_GB2312" w:eastAsia="仿宋_GB2312" w:cs="仿宋_GB2312"/>
          <w:sz w:val="32"/>
          <w:szCs w:val="32"/>
          <w:lang w:val="en-US" w:eastAsia="zh-Hans"/>
        </w:rPr>
        <w:t>淄博市自然资源和规划局</w:t>
      </w:r>
      <w:r>
        <w:rPr>
          <w:rFonts w:hint="eastAsia" w:ascii="仿宋_GB2312" w:hAnsi="仿宋_GB2312" w:eastAsia="仿宋_GB2312" w:cs="仿宋_GB2312"/>
          <w:sz w:val="32"/>
          <w:szCs w:val="32"/>
          <w:lang w:eastAsia="zh-Hans"/>
        </w:rPr>
        <w:t>”微信、微博平台建设，突出权威发布，优化统计服务，积极应对突发事件和政务舆情。</w:t>
      </w:r>
    </w:p>
    <w:p>
      <w:pPr>
        <w:numPr>
          <w:ilvl w:val="0"/>
          <w:numId w:val="2"/>
        </w:numPr>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监督保障方面</w:t>
      </w:r>
    </w:p>
    <w:p>
      <w:pPr>
        <w:numPr>
          <w:ilvl w:val="0"/>
          <w:numId w:val="0"/>
        </w:numPr>
        <w:ind w:firstLine="640" w:firstLineChars="200"/>
        <w:jc w:val="both"/>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围绕政务公开工作重点，做好信息公开指南、信息公开目录、信息公开制度、法定主动公开内容、依申请公开、行政处罚公开等内容的审核更新，做好各相关栏目信息公开发布频率自查，按照工作要求，做好分类对照，做到按时、规范公开。落实专人负责，积极主动做好政务公开相关工作的对接和任务落实，逐条对照正文公开工作要点，确保政务公开工作顺利推进。为进一步深化政务公开，及时修订《</w:t>
      </w:r>
      <w:r>
        <w:rPr>
          <w:rFonts w:hint="eastAsia" w:ascii="仿宋_GB2312" w:hAnsi="仿宋_GB2312" w:eastAsia="仿宋_GB2312" w:cs="仿宋_GB2312"/>
          <w:sz w:val="32"/>
          <w:szCs w:val="32"/>
          <w:lang w:val="en-US" w:eastAsia="zh-Hans"/>
        </w:rPr>
        <w:t>淄博市自然资源和规划局</w:t>
      </w:r>
      <w:r>
        <w:rPr>
          <w:rFonts w:hint="default" w:ascii="仿宋_GB2312" w:hAnsi="仿宋_GB2312" w:eastAsia="仿宋_GB2312" w:cs="仿宋_GB2312"/>
          <w:sz w:val="32"/>
          <w:szCs w:val="32"/>
          <w:lang w:eastAsia="zh-Hans"/>
        </w:rPr>
        <w:t>2020</w:t>
      </w:r>
      <w:r>
        <w:rPr>
          <w:rFonts w:hint="eastAsia" w:ascii="仿宋_GB2312" w:hAnsi="仿宋_GB2312" w:eastAsia="仿宋_GB2312" w:cs="仿宋_GB2312"/>
          <w:sz w:val="32"/>
          <w:szCs w:val="32"/>
          <w:lang w:val="en-US" w:eastAsia="zh-Hans"/>
        </w:rPr>
        <w:t>年政务公开工作实施方案</w:t>
      </w:r>
      <w:r>
        <w:rPr>
          <w:rFonts w:hint="eastAsia" w:ascii="仿宋_GB2312" w:hAnsi="仿宋_GB2312" w:eastAsia="仿宋_GB2312" w:cs="仿宋_GB2312"/>
          <w:sz w:val="32"/>
          <w:szCs w:val="32"/>
          <w:lang w:eastAsia="zh-Hans"/>
        </w:rPr>
        <w:t>》，推动政务公开各项工作落到实处。</w:t>
      </w:r>
    </w:p>
    <w:p>
      <w:pPr>
        <w:numPr>
          <w:ilvl w:val="0"/>
          <w:numId w:val="1"/>
        </w:numPr>
        <w:jc w:val="both"/>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主动公开政府信息情况</w:t>
      </w:r>
    </w:p>
    <w:tbl>
      <w:tblPr>
        <w:tblStyle w:val="5"/>
        <w:tblpPr w:leftFromText="180" w:rightFromText="180" w:vertAnchor="text" w:horzAnchor="page" w:tblpXSpec="center" w:tblpY="293"/>
        <w:tblOverlap w:val="never"/>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921"/>
        <w:gridCol w:w="1965"/>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jc w:val="center"/>
        </w:trPr>
        <w:tc>
          <w:tcPr>
            <w:tcW w:w="8880" w:type="dxa"/>
            <w:gridSpan w:val="4"/>
            <w:noWrap w:val="0"/>
            <w:vAlign w:val="center"/>
          </w:tcPr>
          <w:p>
            <w:pPr>
              <w:jc w:val="center"/>
              <w:rPr>
                <w:color w:val="000000"/>
                <w:sz w:val="24"/>
                <w:szCs w:val="24"/>
              </w:rPr>
            </w:pPr>
            <w:r>
              <w:rPr>
                <w:rFonts w:hint="eastAsia"/>
                <w:b w:val="0"/>
                <w:bCs w:val="0"/>
                <w:color w:val="00000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jc w:val="center"/>
        </w:trPr>
        <w:tc>
          <w:tcPr>
            <w:tcW w:w="2840" w:type="dxa"/>
            <w:noWrap w:val="0"/>
            <w:vAlign w:val="center"/>
          </w:tcPr>
          <w:p>
            <w:pPr>
              <w:jc w:val="center"/>
              <w:rPr>
                <w:color w:val="000000"/>
                <w:sz w:val="24"/>
                <w:szCs w:val="24"/>
              </w:rPr>
            </w:pPr>
            <w:r>
              <w:rPr>
                <w:rFonts w:hint="eastAsia"/>
                <w:color w:val="000000"/>
                <w:sz w:val="24"/>
                <w:szCs w:val="24"/>
              </w:rPr>
              <w:t>信息内容</w:t>
            </w:r>
          </w:p>
        </w:tc>
        <w:tc>
          <w:tcPr>
            <w:tcW w:w="1921" w:type="dxa"/>
            <w:noWrap w:val="0"/>
            <w:vAlign w:val="center"/>
          </w:tcPr>
          <w:p>
            <w:pPr>
              <w:jc w:val="center"/>
              <w:rPr>
                <w:color w:val="000000"/>
                <w:sz w:val="24"/>
                <w:szCs w:val="24"/>
              </w:rPr>
            </w:pPr>
            <w:r>
              <w:rPr>
                <w:rFonts w:hint="eastAsia"/>
                <w:color w:val="000000"/>
                <w:sz w:val="24"/>
                <w:szCs w:val="24"/>
              </w:rPr>
              <w:t>本年新制作数量</w:t>
            </w:r>
          </w:p>
        </w:tc>
        <w:tc>
          <w:tcPr>
            <w:tcW w:w="1965" w:type="dxa"/>
            <w:noWrap w:val="0"/>
            <w:vAlign w:val="center"/>
          </w:tcPr>
          <w:p>
            <w:pPr>
              <w:jc w:val="center"/>
              <w:rPr>
                <w:color w:val="000000"/>
                <w:sz w:val="24"/>
                <w:szCs w:val="24"/>
              </w:rPr>
            </w:pPr>
            <w:r>
              <w:rPr>
                <w:rFonts w:hint="eastAsia"/>
                <w:color w:val="000000"/>
                <w:sz w:val="24"/>
                <w:szCs w:val="24"/>
              </w:rPr>
              <w:t>本年新</w:t>
            </w:r>
          </w:p>
          <w:p>
            <w:pPr>
              <w:jc w:val="center"/>
              <w:rPr>
                <w:color w:val="000000"/>
                <w:sz w:val="24"/>
                <w:szCs w:val="24"/>
              </w:rPr>
            </w:pPr>
            <w:r>
              <w:rPr>
                <w:rFonts w:hint="eastAsia"/>
                <w:color w:val="000000"/>
                <w:sz w:val="24"/>
                <w:szCs w:val="24"/>
              </w:rPr>
              <w:t>公开数量</w:t>
            </w:r>
          </w:p>
        </w:tc>
        <w:tc>
          <w:tcPr>
            <w:tcW w:w="2154" w:type="dxa"/>
            <w:noWrap w:val="0"/>
            <w:vAlign w:val="center"/>
          </w:tcPr>
          <w:p>
            <w:pPr>
              <w:jc w:val="center"/>
              <w:rPr>
                <w:color w:val="000000"/>
                <w:sz w:val="24"/>
                <w:szCs w:val="24"/>
              </w:rPr>
            </w:pPr>
            <w:r>
              <w:rPr>
                <w:rFonts w:hint="eastAsia"/>
                <w:color w:val="000000"/>
                <w:sz w:val="24"/>
                <w:szCs w:val="24"/>
              </w:rPr>
              <w:t>对外公开</w:t>
            </w:r>
          </w:p>
          <w:p>
            <w:pPr>
              <w:jc w:val="center"/>
              <w:rPr>
                <w:color w:val="000000"/>
                <w:sz w:val="24"/>
                <w:szCs w:val="24"/>
              </w:rPr>
            </w:pPr>
            <w:r>
              <w:rPr>
                <w:rFonts w:hint="eastAsia"/>
                <w:color w:val="000000"/>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jc w:val="center"/>
        </w:trPr>
        <w:tc>
          <w:tcPr>
            <w:tcW w:w="2840" w:type="dxa"/>
            <w:noWrap w:val="0"/>
            <w:vAlign w:val="center"/>
          </w:tcPr>
          <w:p>
            <w:pPr>
              <w:rPr>
                <w:color w:val="000000"/>
                <w:sz w:val="24"/>
                <w:szCs w:val="24"/>
              </w:rPr>
            </w:pPr>
            <w:r>
              <w:rPr>
                <w:rFonts w:hint="eastAsia"/>
                <w:color w:val="000000"/>
                <w:sz w:val="24"/>
                <w:szCs w:val="24"/>
              </w:rPr>
              <w:t>规章</w:t>
            </w:r>
          </w:p>
        </w:tc>
        <w:tc>
          <w:tcPr>
            <w:tcW w:w="1921" w:type="dxa"/>
            <w:noWrap w:val="0"/>
            <w:vAlign w:val="center"/>
          </w:tcPr>
          <w:p>
            <w:pPr>
              <w:jc w:val="center"/>
              <w:rPr>
                <w:rFonts w:hint="eastAsia" w:eastAsia="宋体"/>
                <w:color w:val="000000"/>
                <w:sz w:val="24"/>
                <w:szCs w:val="24"/>
                <w:lang w:eastAsia="zh-CN"/>
              </w:rPr>
            </w:pPr>
            <w:r>
              <w:rPr>
                <w:rFonts w:hint="default"/>
                <w:color w:val="000000"/>
                <w:sz w:val="24"/>
                <w:szCs w:val="24"/>
                <w:lang w:eastAsia="zh-CN"/>
              </w:rPr>
              <w:t>0</w:t>
            </w:r>
          </w:p>
        </w:tc>
        <w:tc>
          <w:tcPr>
            <w:tcW w:w="1965" w:type="dxa"/>
            <w:noWrap w:val="0"/>
            <w:vAlign w:val="center"/>
          </w:tcPr>
          <w:p>
            <w:pPr>
              <w:jc w:val="center"/>
              <w:rPr>
                <w:rFonts w:hint="eastAsia" w:eastAsia="宋体"/>
                <w:color w:val="000000"/>
                <w:sz w:val="24"/>
                <w:szCs w:val="24"/>
                <w:lang w:eastAsia="zh-CN"/>
              </w:rPr>
            </w:pPr>
            <w:r>
              <w:rPr>
                <w:rFonts w:hint="default"/>
                <w:color w:val="000000"/>
                <w:sz w:val="24"/>
                <w:szCs w:val="24"/>
                <w:lang w:eastAsia="zh-CN"/>
              </w:rPr>
              <w:t>0</w:t>
            </w:r>
          </w:p>
        </w:tc>
        <w:tc>
          <w:tcPr>
            <w:tcW w:w="2154" w:type="dxa"/>
            <w:noWrap w:val="0"/>
            <w:vAlign w:val="center"/>
          </w:tcPr>
          <w:p>
            <w:pPr>
              <w:jc w:val="center"/>
              <w:rPr>
                <w:rFonts w:hint="eastAsia" w:eastAsia="宋体"/>
                <w:color w:val="000000"/>
                <w:sz w:val="24"/>
                <w:szCs w:val="24"/>
                <w:lang w:eastAsia="zh-CN"/>
              </w:rPr>
            </w:pPr>
            <w:r>
              <w:rPr>
                <w:rFonts w:hint="default" w:eastAsia="宋体"/>
                <w:color w:val="000000"/>
                <w:sz w:val="24"/>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jc w:val="center"/>
        </w:trPr>
        <w:tc>
          <w:tcPr>
            <w:tcW w:w="2840" w:type="dxa"/>
            <w:noWrap w:val="0"/>
            <w:vAlign w:val="center"/>
          </w:tcPr>
          <w:p>
            <w:pPr>
              <w:rPr>
                <w:color w:val="000000"/>
                <w:sz w:val="24"/>
                <w:szCs w:val="24"/>
              </w:rPr>
            </w:pPr>
            <w:r>
              <w:rPr>
                <w:rFonts w:hint="eastAsia"/>
                <w:color w:val="000000"/>
                <w:sz w:val="24"/>
                <w:szCs w:val="24"/>
              </w:rPr>
              <w:t>规范性文件</w:t>
            </w:r>
          </w:p>
        </w:tc>
        <w:tc>
          <w:tcPr>
            <w:tcW w:w="1921" w:type="dxa"/>
            <w:noWrap w:val="0"/>
            <w:vAlign w:val="center"/>
          </w:tcPr>
          <w:p>
            <w:pPr>
              <w:jc w:val="center"/>
              <w:rPr>
                <w:rFonts w:hint="eastAsia" w:eastAsia="宋体"/>
                <w:color w:val="000000"/>
                <w:sz w:val="24"/>
                <w:szCs w:val="24"/>
                <w:lang w:eastAsia="zh-CN"/>
              </w:rPr>
            </w:pPr>
            <w:r>
              <w:rPr>
                <w:rFonts w:hint="default"/>
                <w:color w:val="000000"/>
                <w:sz w:val="24"/>
                <w:szCs w:val="24"/>
                <w:lang w:eastAsia="zh-CN"/>
              </w:rPr>
              <w:t>4</w:t>
            </w:r>
          </w:p>
        </w:tc>
        <w:tc>
          <w:tcPr>
            <w:tcW w:w="1965" w:type="dxa"/>
            <w:noWrap w:val="0"/>
            <w:vAlign w:val="center"/>
          </w:tcPr>
          <w:p>
            <w:pPr>
              <w:jc w:val="center"/>
              <w:rPr>
                <w:rFonts w:hint="eastAsia" w:eastAsia="宋体"/>
                <w:color w:val="000000"/>
                <w:sz w:val="24"/>
                <w:szCs w:val="24"/>
                <w:lang w:eastAsia="zh-CN"/>
              </w:rPr>
            </w:pPr>
            <w:r>
              <w:rPr>
                <w:rFonts w:hint="default"/>
                <w:color w:val="000000"/>
                <w:sz w:val="24"/>
                <w:szCs w:val="24"/>
                <w:lang w:eastAsia="zh-CN"/>
              </w:rPr>
              <w:t>4</w:t>
            </w:r>
          </w:p>
        </w:tc>
        <w:tc>
          <w:tcPr>
            <w:tcW w:w="2154" w:type="dxa"/>
            <w:noWrap w:val="0"/>
            <w:vAlign w:val="center"/>
          </w:tcPr>
          <w:p>
            <w:pPr>
              <w:jc w:val="center"/>
              <w:rPr>
                <w:rFonts w:hint="eastAsia" w:eastAsia="宋体"/>
                <w:color w:val="000000"/>
                <w:sz w:val="24"/>
                <w:szCs w:val="24"/>
                <w:lang w:eastAsia="zh-CN"/>
              </w:rPr>
            </w:pPr>
            <w:r>
              <w:rPr>
                <w:rFonts w:hint="default" w:eastAsia="宋体"/>
                <w:color w:val="000000"/>
                <w:sz w:val="24"/>
                <w:szCs w:val="24"/>
                <w:lang w:eastAsia="zh-CN"/>
              </w:rPr>
              <w:t>27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jc w:val="center"/>
        </w:trPr>
        <w:tc>
          <w:tcPr>
            <w:tcW w:w="8880" w:type="dxa"/>
            <w:gridSpan w:val="4"/>
            <w:noWrap w:val="0"/>
            <w:vAlign w:val="center"/>
          </w:tcPr>
          <w:p>
            <w:pPr>
              <w:jc w:val="center"/>
              <w:rPr>
                <w:color w:val="000000"/>
                <w:sz w:val="24"/>
                <w:szCs w:val="24"/>
              </w:rPr>
            </w:pPr>
            <w:r>
              <w:rPr>
                <w:rFonts w:hint="eastAsia"/>
                <w:color w:val="00000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8" w:hRule="atLeast"/>
          <w:jc w:val="center"/>
        </w:trPr>
        <w:tc>
          <w:tcPr>
            <w:tcW w:w="2840" w:type="dxa"/>
            <w:noWrap w:val="0"/>
            <w:vAlign w:val="center"/>
          </w:tcPr>
          <w:p>
            <w:pPr>
              <w:jc w:val="center"/>
              <w:rPr>
                <w:color w:val="000000"/>
                <w:sz w:val="24"/>
                <w:szCs w:val="24"/>
              </w:rPr>
            </w:pPr>
            <w:r>
              <w:rPr>
                <w:rFonts w:hint="eastAsia"/>
                <w:color w:val="000000"/>
                <w:sz w:val="24"/>
                <w:szCs w:val="24"/>
              </w:rPr>
              <w:t>信息内容</w:t>
            </w:r>
          </w:p>
        </w:tc>
        <w:tc>
          <w:tcPr>
            <w:tcW w:w="1921" w:type="dxa"/>
            <w:noWrap w:val="0"/>
            <w:vAlign w:val="center"/>
          </w:tcPr>
          <w:p>
            <w:pPr>
              <w:rPr>
                <w:color w:val="000000"/>
                <w:sz w:val="24"/>
                <w:szCs w:val="24"/>
              </w:rPr>
            </w:pPr>
            <w:r>
              <w:rPr>
                <w:rFonts w:hint="eastAsia"/>
                <w:color w:val="000000"/>
                <w:sz w:val="24"/>
                <w:szCs w:val="24"/>
              </w:rPr>
              <w:t>上一年项目数量</w:t>
            </w:r>
          </w:p>
        </w:tc>
        <w:tc>
          <w:tcPr>
            <w:tcW w:w="1965" w:type="dxa"/>
            <w:noWrap w:val="0"/>
            <w:vAlign w:val="center"/>
          </w:tcPr>
          <w:p>
            <w:pPr>
              <w:jc w:val="center"/>
              <w:rPr>
                <w:color w:val="000000"/>
                <w:sz w:val="24"/>
                <w:szCs w:val="24"/>
              </w:rPr>
            </w:pPr>
            <w:r>
              <w:rPr>
                <w:rFonts w:hint="eastAsia"/>
                <w:color w:val="000000"/>
                <w:sz w:val="24"/>
                <w:szCs w:val="24"/>
              </w:rPr>
              <w:t>本年增</w:t>
            </w:r>
            <w:r>
              <w:rPr>
                <w:color w:val="000000"/>
                <w:sz w:val="24"/>
                <w:szCs w:val="24"/>
              </w:rPr>
              <w:t>/</w:t>
            </w:r>
            <w:r>
              <w:rPr>
                <w:rFonts w:hint="eastAsia"/>
                <w:color w:val="000000"/>
                <w:sz w:val="24"/>
                <w:szCs w:val="24"/>
              </w:rPr>
              <w:t>减</w:t>
            </w:r>
          </w:p>
        </w:tc>
        <w:tc>
          <w:tcPr>
            <w:tcW w:w="2154" w:type="dxa"/>
            <w:noWrap w:val="0"/>
            <w:vAlign w:val="center"/>
          </w:tcPr>
          <w:p>
            <w:pPr>
              <w:jc w:val="center"/>
              <w:rPr>
                <w:color w:val="000000"/>
                <w:sz w:val="24"/>
                <w:szCs w:val="24"/>
              </w:rPr>
            </w:pPr>
            <w:r>
              <w:rPr>
                <w:rFonts w:hint="eastAsia"/>
                <w:color w:val="00000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2840" w:type="dxa"/>
            <w:noWrap w:val="0"/>
            <w:vAlign w:val="center"/>
          </w:tcPr>
          <w:p>
            <w:pPr>
              <w:rPr>
                <w:color w:val="000000"/>
                <w:sz w:val="24"/>
                <w:szCs w:val="24"/>
              </w:rPr>
            </w:pPr>
            <w:r>
              <w:rPr>
                <w:rFonts w:hint="eastAsia"/>
                <w:color w:val="000000"/>
                <w:sz w:val="24"/>
                <w:szCs w:val="24"/>
              </w:rPr>
              <w:t>行政许可</w:t>
            </w:r>
          </w:p>
        </w:tc>
        <w:tc>
          <w:tcPr>
            <w:tcW w:w="1921" w:type="dxa"/>
            <w:noWrap w:val="0"/>
            <w:vAlign w:val="center"/>
          </w:tcPr>
          <w:p>
            <w:pPr>
              <w:jc w:val="center"/>
              <w:rPr>
                <w:rFonts w:hint="default" w:eastAsia="宋体" w:asciiTheme="minorHAnsi" w:hAnsiTheme="minorHAnsi" w:cstheme="minorBidi"/>
                <w:color w:val="auto"/>
                <w:kern w:val="2"/>
                <w:sz w:val="24"/>
                <w:szCs w:val="24"/>
                <w:lang w:val="en-US" w:eastAsia="zh-CN" w:bidi="ar-SA"/>
              </w:rPr>
            </w:pPr>
            <w:r>
              <w:rPr>
                <w:rFonts w:hint="eastAsia"/>
                <w:color w:val="auto"/>
                <w:sz w:val="24"/>
                <w:szCs w:val="24"/>
                <w:lang w:val="en-US" w:eastAsia="zh-CN"/>
              </w:rPr>
              <w:t>29</w:t>
            </w:r>
          </w:p>
        </w:tc>
        <w:tc>
          <w:tcPr>
            <w:tcW w:w="1965" w:type="dxa"/>
            <w:noWrap w:val="0"/>
            <w:vAlign w:val="center"/>
          </w:tcPr>
          <w:p>
            <w:pPr>
              <w:jc w:val="center"/>
              <w:rPr>
                <w:rFonts w:hint="default" w:eastAsia="宋体" w:asciiTheme="minorHAnsi" w:hAnsiTheme="minorHAnsi" w:cstheme="minorBidi"/>
                <w:color w:val="auto"/>
                <w:kern w:val="2"/>
                <w:sz w:val="24"/>
                <w:szCs w:val="24"/>
                <w:lang w:val="en-US" w:eastAsia="zh-CN" w:bidi="ar-SA"/>
              </w:rPr>
            </w:pPr>
            <w:r>
              <w:rPr>
                <w:rFonts w:hint="default"/>
                <w:color w:val="auto"/>
                <w:sz w:val="24"/>
                <w:szCs w:val="24"/>
                <w:lang w:eastAsia="zh-CN"/>
              </w:rPr>
              <w:t>-</w:t>
            </w:r>
            <w:r>
              <w:rPr>
                <w:rFonts w:hint="eastAsia"/>
                <w:color w:val="auto"/>
                <w:sz w:val="24"/>
                <w:szCs w:val="24"/>
                <w:lang w:val="en-US" w:eastAsia="zh-CN"/>
              </w:rPr>
              <w:t>2</w:t>
            </w:r>
          </w:p>
        </w:tc>
        <w:tc>
          <w:tcPr>
            <w:tcW w:w="2154" w:type="dxa"/>
            <w:noWrap w:val="0"/>
            <w:vAlign w:val="center"/>
          </w:tcPr>
          <w:p>
            <w:pPr>
              <w:jc w:val="center"/>
              <w:rPr>
                <w:rFonts w:hint="default" w:eastAsia="宋体" w:asciiTheme="minorHAnsi" w:hAnsiTheme="minorHAnsi" w:cstheme="minorBidi"/>
                <w:color w:val="auto"/>
                <w:kern w:val="2"/>
                <w:sz w:val="24"/>
                <w:szCs w:val="24"/>
                <w:lang w:eastAsia="zh-CN" w:bidi="ar-SA"/>
              </w:rPr>
            </w:pPr>
            <w:r>
              <w:rPr>
                <w:rFonts w:hint="default" w:eastAsia="宋体" w:cstheme="minorBidi"/>
                <w:color w:val="auto"/>
                <w:kern w:val="2"/>
                <w:sz w:val="24"/>
                <w:szCs w:val="24"/>
                <w:lang w:eastAsia="zh-CN" w:bidi="ar-SA"/>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2840" w:type="dxa"/>
            <w:noWrap w:val="0"/>
            <w:vAlign w:val="center"/>
          </w:tcPr>
          <w:p>
            <w:pPr>
              <w:rPr>
                <w:color w:val="000000"/>
                <w:sz w:val="24"/>
                <w:szCs w:val="24"/>
              </w:rPr>
            </w:pPr>
            <w:r>
              <w:rPr>
                <w:rFonts w:hint="eastAsia"/>
                <w:color w:val="000000"/>
                <w:sz w:val="24"/>
                <w:szCs w:val="24"/>
              </w:rPr>
              <w:t>其他对外管理服务事项</w:t>
            </w:r>
          </w:p>
        </w:tc>
        <w:tc>
          <w:tcPr>
            <w:tcW w:w="1921" w:type="dxa"/>
            <w:noWrap w:val="0"/>
            <w:vAlign w:val="center"/>
          </w:tcPr>
          <w:p>
            <w:pPr>
              <w:jc w:val="center"/>
              <w:rPr>
                <w:rFonts w:hint="default" w:eastAsia="宋体" w:asciiTheme="minorHAnsi" w:hAnsiTheme="minorHAnsi" w:cstheme="minorBidi"/>
                <w:color w:val="auto"/>
                <w:kern w:val="2"/>
                <w:sz w:val="24"/>
                <w:szCs w:val="24"/>
                <w:lang w:val="en-US" w:eastAsia="zh-CN" w:bidi="ar-SA"/>
              </w:rPr>
            </w:pPr>
            <w:r>
              <w:rPr>
                <w:rFonts w:hint="eastAsia"/>
                <w:color w:val="auto"/>
                <w:sz w:val="24"/>
                <w:szCs w:val="24"/>
                <w:lang w:val="en-US" w:eastAsia="zh-CN"/>
              </w:rPr>
              <w:t>9</w:t>
            </w:r>
            <w:r>
              <w:rPr>
                <w:rFonts w:hint="default"/>
                <w:color w:val="auto"/>
                <w:sz w:val="24"/>
                <w:szCs w:val="24"/>
                <w:lang w:eastAsia="zh-CN"/>
              </w:rPr>
              <w:t>2</w:t>
            </w:r>
          </w:p>
        </w:tc>
        <w:tc>
          <w:tcPr>
            <w:tcW w:w="1965" w:type="dxa"/>
            <w:noWrap w:val="0"/>
            <w:vAlign w:val="center"/>
          </w:tcPr>
          <w:p>
            <w:pPr>
              <w:jc w:val="center"/>
              <w:rPr>
                <w:rFonts w:hint="default" w:eastAsia="宋体" w:asciiTheme="minorHAnsi" w:hAnsiTheme="minorHAnsi" w:cstheme="minorBidi"/>
                <w:color w:val="auto"/>
                <w:kern w:val="2"/>
                <w:sz w:val="24"/>
                <w:szCs w:val="24"/>
                <w:lang w:val="en-US" w:eastAsia="zh-CN" w:bidi="ar-SA"/>
              </w:rPr>
            </w:pPr>
            <w:r>
              <w:rPr>
                <w:rFonts w:hint="default"/>
                <w:color w:val="auto"/>
                <w:sz w:val="24"/>
                <w:szCs w:val="24"/>
                <w:lang w:eastAsia="zh-CN"/>
              </w:rPr>
              <w:t>+</w:t>
            </w:r>
            <w:r>
              <w:rPr>
                <w:rFonts w:hint="eastAsia"/>
                <w:color w:val="auto"/>
                <w:sz w:val="24"/>
                <w:szCs w:val="24"/>
                <w:lang w:val="en-US" w:eastAsia="zh-CN"/>
              </w:rPr>
              <w:t>2</w:t>
            </w:r>
          </w:p>
        </w:tc>
        <w:tc>
          <w:tcPr>
            <w:tcW w:w="2154" w:type="dxa"/>
            <w:noWrap w:val="0"/>
            <w:vAlign w:val="center"/>
          </w:tcPr>
          <w:p>
            <w:pPr>
              <w:jc w:val="center"/>
              <w:rPr>
                <w:rFonts w:hint="default" w:eastAsia="宋体" w:asciiTheme="minorHAnsi" w:hAnsiTheme="minorHAnsi" w:cstheme="minorBidi"/>
                <w:color w:val="0000FF"/>
                <w:kern w:val="2"/>
                <w:sz w:val="24"/>
                <w:szCs w:val="24"/>
                <w:lang w:val="en-US" w:eastAsia="zh-CN" w:bidi="ar-SA"/>
              </w:rPr>
            </w:pPr>
            <w:r>
              <w:rPr>
                <w:rFonts w:hint="default"/>
                <w:color w:val="auto"/>
                <w:sz w:val="24"/>
                <w:szCs w:val="24"/>
                <w:lang w:eastAsia="zh-CN"/>
              </w:rPr>
              <w:t>1433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8880" w:type="dxa"/>
            <w:gridSpan w:val="4"/>
            <w:noWrap w:val="0"/>
            <w:vAlign w:val="center"/>
          </w:tcPr>
          <w:p>
            <w:pPr>
              <w:jc w:val="center"/>
              <w:rPr>
                <w:color w:val="000000"/>
                <w:sz w:val="24"/>
                <w:szCs w:val="24"/>
              </w:rPr>
            </w:pPr>
            <w:r>
              <w:rPr>
                <w:rFonts w:hint="eastAsia"/>
                <w:color w:val="00000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2840" w:type="dxa"/>
            <w:noWrap w:val="0"/>
            <w:vAlign w:val="center"/>
          </w:tcPr>
          <w:p>
            <w:pPr>
              <w:jc w:val="center"/>
              <w:rPr>
                <w:color w:val="000000"/>
                <w:sz w:val="24"/>
                <w:szCs w:val="24"/>
              </w:rPr>
            </w:pPr>
            <w:r>
              <w:rPr>
                <w:rFonts w:hint="eastAsia"/>
                <w:color w:val="000000"/>
                <w:sz w:val="24"/>
                <w:szCs w:val="24"/>
              </w:rPr>
              <w:t>信息内容</w:t>
            </w:r>
          </w:p>
        </w:tc>
        <w:tc>
          <w:tcPr>
            <w:tcW w:w="1921" w:type="dxa"/>
            <w:noWrap w:val="0"/>
            <w:vAlign w:val="center"/>
          </w:tcPr>
          <w:p>
            <w:pPr>
              <w:rPr>
                <w:color w:val="000000"/>
                <w:sz w:val="24"/>
                <w:szCs w:val="24"/>
              </w:rPr>
            </w:pPr>
            <w:r>
              <w:rPr>
                <w:rFonts w:hint="eastAsia"/>
                <w:color w:val="000000"/>
                <w:sz w:val="24"/>
                <w:szCs w:val="24"/>
              </w:rPr>
              <w:t>上一年项目数量</w:t>
            </w:r>
          </w:p>
        </w:tc>
        <w:tc>
          <w:tcPr>
            <w:tcW w:w="1965" w:type="dxa"/>
            <w:noWrap w:val="0"/>
            <w:vAlign w:val="center"/>
          </w:tcPr>
          <w:p>
            <w:pPr>
              <w:jc w:val="center"/>
              <w:rPr>
                <w:color w:val="000000"/>
                <w:sz w:val="24"/>
                <w:szCs w:val="24"/>
              </w:rPr>
            </w:pPr>
            <w:r>
              <w:rPr>
                <w:rFonts w:hint="eastAsia"/>
                <w:color w:val="000000"/>
                <w:sz w:val="24"/>
                <w:szCs w:val="24"/>
              </w:rPr>
              <w:t>本年增</w:t>
            </w:r>
            <w:r>
              <w:rPr>
                <w:color w:val="000000"/>
                <w:sz w:val="24"/>
                <w:szCs w:val="24"/>
              </w:rPr>
              <w:t>/</w:t>
            </w:r>
            <w:r>
              <w:rPr>
                <w:rFonts w:hint="eastAsia"/>
                <w:color w:val="000000"/>
                <w:sz w:val="24"/>
                <w:szCs w:val="24"/>
              </w:rPr>
              <w:t>减</w:t>
            </w:r>
          </w:p>
        </w:tc>
        <w:tc>
          <w:tcPr>
            <w:tcW w:w="2154" w:type="dxa"/>
            <w:noWrap w:val="0"/>
            <w:vAlign w:val="center"/>
          </w:tcPr>
          <w:p>
            <w:pPr>
              <w:jc w:val="center"/>
              <w:rPr>
                <w:color w:val="000000"/>
                <w:sz w:val="24"/>
                <w:szCs w:val="24"/>
              </w:rPr>
            </w:pPr>
            <w:r>
              <w:rPr>
                <w:rFonts w:hint="eastAsia"/>
                <w:color w:val="000000"/>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2840" w:type="dxa"/>
            <w:noWrap w:val="0"/>
            <w:vAlign w:val="center"/>
          </w:tcPr>
          <w:p>
            <w:pPr>
              <w:rPr>
                <w:color w:val="000000"/>
                <w:sz w:val="24"/>
                <w:szCs w:val="24"/>
              </w:rPr>
            </w:pPr>
            <w:r>
              <w:rPr>
                <w:rFonts w:hint="eastAsia"/>
                <w:color w:val="000000"/>
                <w:sz w:val="24"/>
                <w:szCs w:val="24"/>
              </w:rPr>
              <w:t>行政处罚</w:t>
            </w:r>
          </w:p>
        </w:tc>
        <w:tc>
          <w:tcPr>
            <w:tcW w:w="1921" w:type="dxa"/>
            <w:noWrap w:val="0"/>
            <w:vAlign w:val="center"/>
          </w:tcPr>
          <w:p>
            <w:pPr>
              <w:jc w:val="center"/>
              <w:rPr>
                <w:rFonts w:hint="eastAsia" w:eastAsia="宋体" w:asciiTheme="minorHAnsi" w:hAnsiTheme="minorHAnsi" w:cstheme="minorBidi"/>
                <w:color w:val="auto"/>
                <w:kern w:val="2"/>
                <w:sz w:val="24"/>
                <w:szCs w:val="24"/>
                <w:lang w:val="en-US" w:eastAsia="zh-CN" w:bidi="ar-SA"/>
              </w:rPr>
            </w:pPr>
            <w:r>
              <w:rPr>
                <w:rFonts w:hint="eastAsia"/>
                <w:color w:val="auto"/>
                <w:sz w:val="24"/>
                <w:szCs w:val="24"/>
                <w:lang w:val="en-US" w:eastAsia="zh-CN"/>
              </w:rPr>
              <w:t>225</w:t>
            </w:r>
          </w:p>
        </w:tc>
        <w:tc>
          <w:tcPr>
            <w:tcW w:w="1965" w:type="dxa"/>
            <w:noWrap w:val="0"/>
            <w:vAlign w:val="center"/>
          </w:tcPr>
          <w:p>
            <w:pPr>
              <w:jc w:val="center"/>
              <w:rPr>
                <w:rFonts w:hint="default" w:eastAsia="宋体" w:asciiTheme="minorHAnsi" w:hAnsiTheme="minorHAnsi" w:cstheme="minorBidi"/>
                <w:color w:val="auto"/>
                <w:kern w:val="2"/>
                <w:sz w:val="24"/>
                <w:szCs w:val="24"/>
                <w:lang w:eastAsia="zh-CN" w:bidi="ar-SA"/>
              </w:rPr>
            </w:pPr>
            <w:r>
              <w:rPr>
                <w:rFonts w:hint="default" w:eastAsia="宋体" w:cstheme="minorBidi"/>
                <w:color w:val="auto"/>
                <w:kern w:val="2"/>
                <w:sz w:val="24"/>
                <w:szCs w:val="24"/>
                <w:lang w:eastAsia="zh-CN" w:bidi="ar-SA"/>
              </w:rPr>
              <w:t>0</w:t>
            </w:r>
          </w:p>
        </w:tc>
        <w:tc>
          <w:tcPr>
            <w:tcW w:w="2154" w:type="dxa"/>
            <w:noWrap w:val="0"/>
            <w:vAlign w:val="center"/>
          </w:tcPr>
          <w:p>
            <w:pPr>
              <w:jc w:val="center"/>
              <w:rPr>
                <w:rFonts w:hint="eastAsia" w:eastAsia="宋体"/>
                <w:color w:val="000000"/>
                <w:sz w:val="24"/>
                <w:szCs w:val="24"/>
                <w:lang w:eastAsia="zh-CN"/>
              </w:rPr>
            </w:pPr>
            <w:r>
              <w:rPr>
                <w:rFonts w:hint="default" w:eastAsia="宋体"/>
                <w:color w:val="000000"/>
                <w:sz w:val="24"/>
                <w:szCs w:val="24"/>
                <w:lang w:eastAsia="zh-CN"/>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2840" w:type="dxa"/>
            <w:noWrap w:val="0"/>
            <w:vAlign w:val="center"/>
          </w:tcPr>
          <w:p>
            <w:pPr>
              <w:rPr>
                <w:color w:val="000000"/>
                <w:sz w:val="24"/>
                <w:szCs w:val="24"/>
              </w:rPr>
            </w:pPr>
            <w:r>
              <w:rPr>
                <w:rFonts w:hint="eastAsia"/>
                <w:color w:val="000000"/>
                <w:sz w:val="24"/>
                <w:szCs w:val="24"/>
              </w:rPr>
              <w:t>行政强制</w:t>
            </w:r>
          </w:p>
        </w:tc>
        <w:tc>
          <w:tcPr>
            <w:tcW w:w="1921" w:type="dxa"/>
            <w:noWrap w:val="0"/>
            <w:vAlign w:val="center"/>
          </w:tcPr>
          <w:p>
            <w:pPr>
              <w:jc w:val="center"/>
              <w:rPr>
                <w:rFonts w:hint="default" w:eastAsia="宋体" w:asciiTheme="minorHAnsi" w:hAnsiTheme="minorHAnsi" w:cstheme="minorBidi"/>
                <w:color w:val="auto"/>
                <w:kern w:val="2"/>
                <w:sz w:val="24"/>
                <w:szCs w:val="24"/>
                <w:lang w:val="en-US" w:eastAsia="zh-CN" w:bidi="ar-SA"/>
              </w:rPr>
            </w:pPr>
            <w:r>
              <w:rPr>
                <w:rFonts w:hint="eastAsia"/>
                <w:color w:val="auto"/>
                <w:sz w:val="24"/>
                <w:szCs w:val="24"/>
                <w:lang w:val="en-US" w:eastAsia="zh-CN"/>
              </w:rPr>
              <w:t>5</w:t>
            </w:r>
          </w:p>
        </w:tc>
        <w:tc>
          <w:tcPr>
            <w:tcW w:w="1965" w:type="dxa"/>
            <w:noWrap w:val="0"/>
            <w:vAlign w:val="center"/>
          </w:tcPr>
          <w:p>
            <w:pPr>
              <w:jc w:val="center"/>
              <w:rPr>
                <w:rFonts w:hint="eastAsia" w:eastAsia="宋体" w:asciiTheme="minorHAnsi" w:hAnsiTheme="minorHAnsi" w:cstheme="minorBidi"/>
                <w:color w:val="auto"/>
                <w:kern w:val="2"/>
                <w:sz w:val="24"/>
                <w:szCs w:val="24"/>
                <w:lang w:val="en-US" w:eastAsia="zh-CN" w:bidi="ar-SA"/>
              </w:rPr>
            </w:pPr>
            <w:r>
              <w:rPr>
                <w:rFonts w:hint="eastAsia"/>
                <w:color w:val="auto"/>
                <w:sz w:val="24"/>
                <w:szCs w:val="24"/>
                <w:lang w:val="en-US" w:eastAsia="zh-CN"/>
              </w:rPr>
              <w:t>-1</w:t>
            </w:r>
          </w:p>
        </w:tc>
        <w:tc>
          <w:tcPr>
            <w:tcW w:w="2154" w:type="dxa"/>
            <w:noWrap w:val="0"/>
            <w:vAlign w:val="center"/>
          </w:tcPr>
          <w:p>
            <w:pPr>
              <w:jc w:val="center"/>
              <w:rPr>
                <w:rFonts w:hint="eastAsia" w:eastAsia="宋体"/>
                <w:color w:val="000000"/>
                <w:sz w:val="24"/>
                <w:szCs w:val="24"/>
                <w:lang w:eastAsia="zh-CN"/>
              </w:rPr>
            </w:pPr>
            <w:r>
              <w:rPr>
                <w:rFonts w:hint="default" w:eastAsia="宋体"/>
                <w:color w:val="000000"/>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8880" w:type="dxa"/>
            <w:gridSpan w:val="4"/>
            <w:noWrap w:val="0"/>
            <w:vAlign w:val="center"/>
          </w:tcPr>
          <w:p>
            <w:pPr>
              <w:jc w:val="center"/>
              <w:rPr>
                <w:color w:val="000000"/>
                <w:sz w:val="24"/>
                <w:szCs w:val="24"/>
              </w:rPr>
            </w:pPr>
            <w:r>
              <w:rPr>
                <w:rFonts w:hint="eastAsia"/>
                <w:color w:val="00000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2840" w:type="dxa"/>
            <w:noWrap w:val="0"/>
            <w:vAlign w:val="center"/>
          </w:tcPr>
          <w:p>
            <w:pPr>
              <w:jc w:val="center"/>
              <w:rPr>
                <w:color w:val="000000"/>
                <w:sz w:val="24"/>
                <w:szCs w:val="24"/>
              </w:rPr>
            </w:pPr>
            <w:r>
              <w:rPr>
                <w:rFonts w:hint="eastAsia"/>
                <w:color w:val="000000"/>
                <w:sz w:val="24"/>
                <w:szCs w:val="24"/>
              </w:rPr>
              <w:t>信息内容</w:t>
            </w:r>
          </w:p>
        </w:tc>
        <w:tc>
          <w:tcPr>
            <w:tcW w:w="1921" w:type="dxa"/>
            <w:noWrap w:val="0"/>
            <w:vAlign w:val="center"/>
          </w:tcPr>
          <w:p>
            <w:pPr>
              <w:rPr>
                <w:color w:val="000000"/>
                <w:sz w:val="24"/>
                <w:szCs w:val="24"/>
              </w:rPr>
            </w:pPr>
            <w:r>
              <w:rPr>
                <w:rFonts w:hint="eastAsia"/>
                <w:color w:val="000000"/>
                <w:sz w:val="24"/>
                <w:szCs w:val="24"/>
              </w:rPr>
              <w:t>上一年项目数量</w:t>
            </w:r>
          </w:p>
        </w:tc>
        <w:tc>
          <w:tcPr>
            <w:tcW w:w="4119" w:type="dxa"/>
            <w:gridSpan w:val="2"/>
            <w:noWrap w:val="0"/>
            <w:vAlign w:val="center"/>
          </w:tcPr>
          <w:p>
            <w:pPr>
              <w:jc w:val="center"/>
              <w:rPr>
                <w:color w:val="000000"/>
                <w:sz w:val="24"/>
                <w:szCs w:val="24"/>
              </w:rPr>
            </w:pPr>
            <w:r>
              <w:rPr>
                <w:rFonts w:hint="eastAsia"/>
                <w:color w:val="000000"/>
                <w:sz w:val="24"/>
                <w:szCs w:val="24"/>
              </w:rPr>
              <w:t>本年增</w:t>
            </w:r>
            <w:r>
              <w:rPr>
                <w:color w:val="000000"/>
                <w:sz w:val="24"/>
                <w:szCs w:val="24"/>
              </w:rPr>
              <w:t>/</w:t>
            </w:r>
            <w:r>
              <w:rPr>
                <w:rFonts w:hint="eastAsia"/>
                <w:color w:val="000000"/>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2840" w:type="dxa"/>
            <w:noWrap w:val="0"/>
            <w:vAlign w:val="center"/>
          </w:tcPr>
          <w:p>
            <w:pPr>
              <w:rPr>
                <w:color w:val="000000"/>
                <w:sz w:val="24"/>
                <w:szCs w:val="24"/>
              </w:rPr>
            </w:pPr>
            <w:r>
              <w:rPr>
                <w:rFonts w:hint="eastAsia"/>
                <w:color w:val="000000"/>
                <w:sz w:val="24"/>
                <w:szCs w:val="24"/>
              </w:rPr>
              <w:t>行政事业性收费</w:t>
            </w:r>
          </w:p>
        </w:tc>
        <w:tc>
          <w:tcPr>
            <w:tcW w:w="1921" w:type="dxa"/>
            <w:noWrap w:val="0"/>
            <w:vAlign w:val="center"/>
          </w:tcPr>
          <w:p>
            <w:pPr>
              <w:jc w:val="center"/>
              <w:rPr>
                <w:rFonts w:hint="eastAsia" w:eastAsia="宋体"/>
                <w:color w:val="000000"/>
                <w:sz w:val="24"/>
                <w:szCs w:val="24"/>
                <w:lang w:eastAsia="zh-CN"/>
              </w:rPr>
            </w:pPr>
            <w:r>
              <w:rPr>
                <w:rFonts w:hint="default"/>
                <w:color w:val="000000"/>
                <w:sz w:val="24"/>
                <w:szCs w:val="24"/>
                <w:lang w:eastAsia="zh-CN"/>
              </w:rPr>
              <w:t>7</w:t>
            </w:r>
          </w:p>
        </w:tc>
        <w:tc>
          <w:tcPr>
            <w:tcW w:w="4119" w:type="dxa"/>
            <w:gridSpan w:val="2"/>
            <w:noWrap w:val="0"/>
            <w:vAlign w:val="center"/>
          </w:tcPr>
          <w:p>
            <w:pPr>
              <w:jc w:val="center"/>
              <w:rPr>
                <w:rFonts w:hint="eastAsia" w:eastAsia="宋体"/>
                <w:color w:val="000000"/>
                <w:sz w:val="24"/>
                <w:szCs w:val="24"/>
                <w:lang w:eastAsia="zh-CN"/>
              </w:rPr>
            </w:pPr>
            <w:r>
              <w:rPr>
                <w:rFonts w:hint="default"/>
                <w:color w:val="000000"/>
                <w:sz w:val="24"/>
                <w:szCs w:val="24"/>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1" w:hRule="atLeast"/>
          <w:jc w:val="center"/>
        </w:trPr>
        <w:tc>
          <w:tcPr>
            <w:tcW w:w="8880" w:type="dxa"/>
            <w:gridSpan w:val="4"/>
            <w:noWrap w:val="0"/>
            <w:vAlign w:val="center"/>
          </w:tcPr>
          <w:p>
            <w:pPr>
              <w:jc w:val="center"/>
              <w:rPr>
                <w:color w:val="000000"/>
                <w:sz w:val="24"/>
                <w:szCs w:val="24"/>
              </w:rPr>
            </w:pPr>
            <w:r>
              <w:rPr>
                <w:rFonts w:hint="eastAsia"/>
                <w:color w:val="000000"/>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2840" w:type="dxa"/>
            <w:noWrap w:val="0"/>
            <w:vAlign w:val="center"/>
          </w:tcPr>
          <w:p>
            <w:pPr>
              <w:jc w:val="center"/>
              <w:rPr>
                <w:color w:val="000000"/>
                <w:sz w:val="24"/>
                <w:szCs w:val="24"/>
              </w:rPr>
            </w:pPr>
            <w:r>
              <w:rPr>
                <w:rFonts w:hint="eastAsia"/>
                <w:color w:val="000000"/>
                <w:sz w:val="24"/>
                <w:szCs w:val="24"/>
              </w:rPr>
              <w:t>信息内容</w:t>
            </w:r>
          </w:p>
        </w:tc>
        <w:tc>
          <w:tcPr>
            <w:tcW w:w="1921" w:type="dxa"/>
            <w:noWrap w:val="0"/>
            <w:vAlign w:val="center"/>
          </w:tcPr>
          <w:p>
            <w:pPr>
              <w:jc w:val="center"/>
              <w:rPr>
                <w:color w:val="000000"/>
                <w:sz w:val="24"/>
                <w:szCs w:val="24"/>
              </w:rPr>
            </w:pPr>
            <w:r>
              <w:rPr>
                <w:rFonts w:hint="eastAsia"/>
                <w:color w:val="000000"/>
                <w:sz w:val="24"/>
                <w:szCs w:val="24"/>
              </w:rPr>
              <w:t>采购项目数量</w:t>
            </w:r>
          </w:p>
        </w:tc>
        <w:tc>
          <w:tcPr>
            <w:tcW w:w="4119" w:type="dxa"/>
            <w:gridSpan w:val="2"/>
            <w:noWrap w:val="0"/>
            <w:vAlign w:val="center"/>
          </w:tcPr>
          <w:p>
            <w:pPr>
              <w:jc w:val="center"/>
              <w:rPr>
                <w:color w:val="000000"/>
                <w:sz w:val="24"/>
                <w:szCs w:val="24"/>
              </w:rPr>
            </w:pPr>
            <w:r>
              <w:rPr>
                <w:rFonts w:hint="eastAsia"/>
                <w:color w:val="000000"/>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2840" w:type="dxa"/>
            <w:noWrap w:val="0"/>
            <w:vAlign w:val="center"/>
          </w:tcPr>
          <w:p>
            <w:pPr>
              <w:rPr>
                <w:color w:val="000000"/>
                <w:sz w:val="24"/>
                <w:szCs w:val="24"/>
              </w:rPr>
            </w:pPr>
            <w:r>
              <w:rPr>
                <w:rFonts w:hint="eastAsia"/>
                <w:color w:val="000000"/>
                <w:sz w:val="24"/>
                <w:szCs w:val="24"/>
              </w:rPr>
              <w:t>政府集中采购</w:t>
            </w:r>
          </w:p>
        </w:tc>
        <w:tc>
          <w:tcPr>
            <w:tcW w:w="1921" w:type="dxa"/>
            <w:noWrap w:val="0"/>
            <w:vAlign w:val="center"/>
          </w:tcPr>
          <w:p>
            <w:pPr>
              <w:jc w:val="center"/>
              <w:rPr>
                <w:rFonts w:hint="eastAsia" w:eastAsia="宋体"/>
                <w:color w:val="000000"/>
                <w:sz w:val="24"/>
                <w:szCs w:val="24"/>
                <w:lang w:eastAsia="zh-CN"/>
              </w:rPr>
            </w:pPr>
            <w:r>
              <w:rPr>
                <w:rFonts w:hint="default" w:eastAsia="宋体"/>
                <w:color w:val="000000"/>
                <w:sz w:val="24"/>
                <w:szCs w:val="24"/>
                <w:lang w:eastAsia="zh-CN"/>
              </w:rPr>
              <w:t>73</w:t>
            </w:r>
          </w:p>
        </w:tc>
        <w:tc>
          <w:tcPr>
            <w:tcW w:w="4119" w:type="dxa"/>
            <w:gridSpan w:val="2"/>
            <w:noWrap w:val="0"/>
            <w:vAlign w:val="center"/>
          </w:tcPr>
          <w:p>
            <w:pPr>
              <w:jc w:val="center"/>
              <w:rPr>
                <w:color w:val="000000"/>
                <w:sz w:val="24"/>
                <w:szCs w:val="24"/>
              </w:rPr>
            </w:pPr>
            <w:r>
              <w:rPr>
                <w:rFonts w:hint="default"/>
                <w:color w:val="000000"/>
                <w:sz w:val="24"/>
                <w:szCs w:val="24"/>
              </w:rPr>
              <w:t>14813.44</w:t>
            </w:r>
            <w:r>
              <w:rPr>
                <w:rFonts w:hint="eastAsia"/>
                <w:color w:val="000000"/>
                <w:sz w:val="24"/>
                <w:szCs w:val="24"/>
              </w:rPr>
              <w:t>万元</w:t>
            </w:r>
          </w:p>
        </w:tc>
      </w:tr>
    </w:tbl>
    <w:p>
      <w:pPr>
        <w:numPr>
          <w:ilvl w:val="0"/>
          <w:numId w:val="1"/>
        </w:numPr>
        <w:jc w:val="both"/>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收到和处理政府信息公开申请情况</w:t>
      </w:r>
    </w:p>
    <w:tbl>
      <w:tblPr>
        <w:tblStyle w:val="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48"/>
        <w:gridCol w:w="2501"/>
        <w:gridCol w:w="554"/>
        <w:gridCol w:w="690"/>
        <w:gridCol w:w="675"/>
        <w:gridCol w:w="675"/>
        <w:gridCol w:w="705"/>
        <w:gridCol w:w="660"/>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jc w:val="center"/>
        </w:trPr>
        <w:tc>
          <w:tcPr>
            <w:tcW w:w="4474" w:type="dxa"/>
            <w:gridSpan w:val="3"/>
            <w:vMerge w:val="restart"/>
            <w:noWrap w:val="0"/>
            <w:vAlign w:val="center"/>
          </w:tcPr>
          <w:p>
            <w:pPr>
              <w:rPr>
                <w:color w:val="000000"/>
              </w:rPr>
            </w:pPr>
            <w:r>
              <w:rPr>
                <w:rFonts w:hint="eastAsia"/>
                <w:color w:val="000000"/>
              </w:rPr>
              <w:t>（本列数据的勾稽关系为：第一项加第二项之和，等于第三项加第四项之和）</w:t>
            </w:r>
          </w:p>
        </w:tc>
        <w:tc>
          <w:tcPr>
            <w:tcW w:w="4605" w:type="dxa"/>
            <w:gridSpan w:val="7"/>
            <w:noWrap w:val="0"/>
            <w:vAlign w:val="center"/>
          </w:tcPr>
          <w:p>
            <w:pPr>
              <w:jc w:val="center"/>
              <w:rPr>
                <w:color w:val="000000"/>
                <w:szCs w:val="21"/>
              </w:rPr>
            </w:pPr>
            <w:r>
              <w:rPr>
                <w:rFonts w:hint="eastAsia"/>
                <w:color w:val="00000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jc w:val="center"/>
        </w:trPr>
        <w:tc>
          <w:tcPr>
            <w:tcW w:w="4474" w:type="dxa"/>
            <w:gridSpan w:val="3"/>
            <w:vMerge w:val="continue"/>
            <w:noWrap w:val="0"/>
            <w:vAlign w:val="top"/>
          </w:tcPr>
          <w:p>
            <w:pPr>
              <w:rPr>
                <w:color w:val="000000"/>
              </w:rPr>
            </w:pPr>
          </w:p>
        </w:tc>
        <w:tc>
          <w:tcPr>
            <w:tcW w:w="554" w:type="dxa"/>
            <w:vMerge w:val="restart"/>
            <w:noWrap w:val="0"/>
            <w:vAlign w:val="center"/>
          </w:tcPr>
          <w:p>
            <w:pPr>
              <w:jc w:val="center"/>
              <w:rPr>
                <w:color w:val="000000"/>
                <w:sz w:val="18"/>
                <w:szCs w:val="18"/>
              </w:rPr>
            </w:pPr>
            <w:r>
              <w:rPr>
                <w:rFonts w:hint="eastAsia"/>
                <w:color w:val="000000"/>
                <w:szCs w:val="21"/>
              </w:rPr>
              <w:t>自然人</w:t>
            </w:r>
          </w:p>
        </w:tc>
        <w:tc>
          <w:tcPr>
            <w:tcW w:w="3405" w:type="dxa"/>
            <w:gridSpan w:val="5"/>
            <w:noWrap w:val="0"/>
            <w:vAlign w:val="center"/>
          </w:tcPr>
          <w:p>
            <w:pPr>
              <w:jc w:val="center"/>
              <w:rPr>
                <w:color w:val="000000"/>
                <w:szCs w:val="21"/>
              </w:rPr>
            </w:pPr>
            <w:r>
              <w:rPr>
                <w:rFonts w:hint="eastAsia"/>
                <w:color w:val="000000"/>
                <w:szCs w:val="21"/>
              </w:rPr>
              <w:t>法人或其他组织</w:t>
            </w:r>
          </w:p>
        </w:tc>
        <w:tc>
          <w:tcPr>
            <w:tcW w:w="646" w:type="dxa"/>
            <w:vMerge w:val="restart"/>
            <w:noWrap w:val="0"/>
            <w:vAlign w:val="center"/>
          </w:tcPr>
          <w:p>
            <w:pPr>
              <w:rPr>
                <w:color w:val="000000"/>
                <w:szCs w:val="21"/>
              </w:rPr>
            </w:pPr>
            <w:r>
              <w:rPr>
                <w:rFonts w:hint="eastAsia"/>
                <w:color w:val="00000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1" w:hRule="atLeast"/>
          <w:jc w:val="center"/>
        </w:trPr>
        <w:tc>
          <w:tcPr>
            <w:tcW w:w="4474" w:type="dxa"/>
            <w:gridSpan w:val="3"/>
            <w:vMerge w:val="continue"/>
            <w:noWrap w:val="0"/>
            <w:vAlign w:val="top"/>
          </w:tcPr>
          <w:p>
            <w:pPr>
              <w:rPr>
                <w:color w:val="000000"/>
              </w:rPr>
            </w:pPr>
          </w:p>
        </w:tc>
        <w:tc>
          <w:tcPr>
            <w:tcW w:w="554" w:type="dxa"/>
            <w:vMerge w:val="continue"/>
            <w:noWrap w:val="0"/>
            <w:vAlign w:val="top"/>
          </w:tcPr>
          <w:p>
            <w:pPr>
              <w:rPr>
                <w:color w:val="000000"/>
                <w:sz w:val="18"/>
                <w:szCs w:val="18"/>
              </w:rPr>
            </w:pPr>
          </w:p>
        </w:tc>
        <w:tc>
          <w:tcPr>
            <w:tcW w:w="690" w:type="dxa"/>
            <w:noWrap w:val="0"/>
            <w:vAlign w:val="center"/>
          </w:tcPr>
          <w:p>
            <w:pPr>
              <w:rPr>
                <w:color w:val="000000"/>
                <w:szCs w:val="21"/>
              </w:rPr>
            </w:pPr>
            <w:r>
              <w:rPr>
                <w:rFonts w:hint="eastAsia"/>
                <w:color w:val="000000"/>
                <w:szCs w:val="21"/>
              </w:rPr>
              <w:t>商业企业</w:t>
            </w:r>
          </w:p>
        </w:tc>
        <w:tc>
          <w:tcPr>
            <w:tcW w:w="675" w:type="dxa"/>
            <w:noWrap w:val="0"/>
            <w:vAlign w:val="center"/>
          </w:tcPr>
          <w:p>
            <w:pPr>
              <w:rPr>
                <w:color w:val="000000"/>
                <w:szCs w:val="21"/>
              </w:rPr>
            </w:pPr>
            <w:r>
              <w:rPr>
                <w:rFonts w:hint="eastAsia"/>
                <w:color w:val="000000"/>
                <w:szCs w:val="21"/>
              </w:rPr>
              <w:t>科研机构</w:t>
            </w:r>
          </w:p>
        </w:tc>
        <w:tc>
          <w:tcPr>
            <w:tcW w:w="675" w:type="dxa"/>
            <w:noWrap w:val="0"/>
            <w:vAlign w:val="center"/>
          </w:tcPr>
          <w:p>
            <w:pPr>
              <w:rPr>
                <w:color w:val="000000"/>
                <w:szCs w:val="21"/>
              </w:rPr>
            </w:pPr>
            <w:r>
              <w:rPr>
                <w:rFonts w:hint="eastAsia"/>
                <w:color w:val="000000"/>
                <w:szCs w:val="21"/>
              </w:rPr>
              <w:t>社会公益组织</w:t>
            </w:r>
          </w:p>
        </w:tc>
        <w:tc>
          <w:tcPr>
            <w:tcW w:w="705" w:type="dxa"/>
            <w:noWrap w:val="0"/>
            <w:vAlign w:val="center"/>
          </w:tcPr>
          <w:p>
            <w:pPr>
              <w:rPr>
                <w:color w:val="000000"/>
                <w:szCs w:val="21"/>
              </w:rPr>
            </w:pPr>
            <w:r>
              <w:rPr>
                <w:rFonts w:hint="eastAsia"/>
                <w:color w:val="000000"/>
                <w:szCs w:val="21"/>
              </w:rPr>
              <w:t>法律服务机构</w:t>
            </w:r>
          </w:p>
        </w:tc>
        <w:tc>
          <w:tcPr>
            <w:tcW w:w="660" w:type="dxa"/>
            <w:noWrap w:val="0"/>
            <w:vAlign w:val="center"/>
          </w:tcPr>
          <w:p>
            <w:pPr>
              <w:rPr>
                <w:color w:val="000000"/>
                <w:szCs w:val="21"/>
              </w:rPr>
            </w:pPr>
            <w:r>
              <w:rPr>
                <w:rFonts w:hint="eastAsia"/>
                <w:color w:val="000000"/>
                <w:szCs w:val="21"/>
              </w:rPr>
              <w:t>其他</w:t>
            </w:r>
          </w:p>
        </w:tc>
        <w:tc>
          <w:tcPr>
            <w:tcW w:w="646" w:type="dxa"/>
            <w:vMerge w:val="continue"/>
            <w:noWrap w:val="0"/>
            <w:vAlign w:val="center"/>
          </w:tcPr>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4474" w:type="dxa"/>
            <w:gridSpan w:val="3"/>
            <w:noWrap w:val="0"/>
            <w:vAlign w:val="top"/>
          </w:tcPr>
          <w:p>
            <w:pPr>
              <w:rPr>
                <w:color w:val="000000"/>
              </w:rPr>
            </w:pPr>
            <w:r>
              <w:rPr>
                <w:rFonts w:hint="eastAsia"/>
                <w:color w:val="000000"/>
              </w:rPr>
              <w:t>一、本年新收政府信息公开申请数量</w:t>
            </w:r>
          </w:p>
        </w:tc>
        <w:tc>
          <w:tcPr>
            <w:tcW w:w="554" w:type="dxa"/>
            <w:noWrap w:val="0"/>
            <w:vAlign w:val="center"/>
          </w:tcPr>
          <w:p>
            <w:pPr>
              <w:jc w:val="center"/>
              <w:rPr>
                <w:color w:val="000000"/>
              </w:rPr>
            </w:pPr>
            <w:r>
              <w:rPr>
                <w:color w:val="000000"/>
              </w:rPr>
              <w:t>88</w:t>
            </w:r>
          </w:p>
        </w:tc>
        <w:tc>
          <w:tcPr>
            <w:tcW w:w="690" w:type="dxa"/>
            <w:noWrap w:val="0"/>
            <w:vAlign w:val="center"/>
          </w:tcPr>
          <w:p>
            <w:pPr>
              <w:jc w:val="center"/>
              <w:rPr>
                <w:color w:val="000000"/>
                <w:szCs w:val="21"/>
              </w:rPr>
            </w:pPr>
            <w:r>
              <w:rPr>
                <w:color w:val="000000"/>
                <w:szCs w:val="21"/>
              </w:rPr>
              <w:t>2</w:t>
            </w:r>
          </w:p>
        </w:tc>
        <w:tc>
          <w:tcPr>
            <w:tcW w:w="675" w:type="dxa"/>
            <w:noWrap w:val="0"/>
            <w:vAlign w:val="center"/>
          </w:tcPr>
          <w:p>
            <w:pPr>
              <w:jc w:val="center"/>
              <w:rPr>
                <w:color w:val="000000"/>
                <w:szCs w:val="21"/>
              </w:rPr>
            </w:pPr>
            <w:r>
              <w:rPr>
                <w:color w:val="000000"/>
                <w:szCs w:val="21"/>
              </w:rPr>
              <w:t>0</w:t>
            </w:r>
          </w:p>
        </w:tc>
        <w:tc>
          <w:tcPr>
            <w:tcW w:w="675" w:type="dxa"/>
            <w:noWrap w:val="0"/>
            <w:vAlign w:val="center"/>
          </w:tcPr>
          <w:p>
            <w:pPr>
              <w:jc w:val="center"/>
              <w:rPr>
                <w:color w:val="000000"/>
                <w:szCs w:val="21"/>
              </w:rPr>
            </w:pPr>
            <w:r>
              <w:rPr>
                <w:color w:val="000000"/>
                <w:szCs w:val="21"/>
              </w:rPr>
              <w:t>0</w:t>
            </w:r>
          </w:p>
        </w:tc>
        <w:tc>
          <w:tcPr>
            <w:tcW w:w="705" w:type="dxa"/>
            <w:noWrap w:val="0"/>
            <w:vAlign w:val="center"/>
          </w:tcPr>
          <w:p>
            <w:pPr>
              <w:jc w:val="center"/>
              <w:rPr>
                <w:color w:val="000000"/>
                <w:szCs w:val="21"/>
              </w:rPr>
            </w:pPr>
            <w:r>
              <w:rPr>
                <w:color w:val="000000"/>
                <w:szCs w:val="21"/>
              </w:rPr>
              <w:t>1</w:t>
            </w:r>
          </w:p>
        </w:tc>
        <w:tc>
          <w:tcPr>
            <w:tcW w:w="660" w:type="dxa"/>
            <w:noWrap w:val="0"/>
            <w:vAlign w:val="center"/>
          </w:tcPr>
          <w:p>
            <w:pPr>
              <w:jc w:val="center"/>
              <w:rPr>
                <w:color w:val="000000"/>
                <w:szCs w:val="21"/>
              </w:rPr>
            </w:pPr>
            <w:r>
              <w:rPr>
                <w:color w:val="000000"/>
                <w:szCs w:val="21"/>
              </w:rPr>
              <w:t>0</w:t>
            </w:r>
          </w:p>
        </w:tc>
        <w:tc>
          <w:tcPr>
            <w:tcW w:w="646" w:type="dxa"/>
            <w:noWrap w:val="0"/>
            <w:vAlign w:val="center"/>
          </w:tcPr>
          <w:p>
            <w:pPr>
              <w:jc w:val="center"/>
              <w:rPr>
                <w:color w:val="000000"/>
                <w:szCs w:val="21"/>
              </w:rPr>
            </w:pPr>
            <w:r>
              <w:rPr>
                <w:color w:val="000000"/>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jc w:val="center"/>
        </w:trPr>
        <w:tc>
          <w:tcPr>
            <w:tcW w:w="4474" w:type="dxa"/>
            <w:gridSpan w:val="3"/>
            <w:noWrap w:val="0"/>
            <w:vAlign w:val="top"/>
          </w:tcPr>
          <w:p>
            <w:pPr>
              <w:rPr>
                <w:color w:val="000000"/>
              </w:rPr>
            </w:pPr>
            <w:r>
              <w:rPr>
                <w:rFonts w:hint="eastAsia"/>
                <w:color w:val="000000"/>
              </w:rPr>
              <w:t>二、上年结转政府信息公开申请数量</w:t>
            </w:r>
          </w:p>
        </w:tc>
        <w:tc>
          <w:tcPr>
            <w:tcW w:w="554" w:type="dxa"/>
            <w:noWrap w:val="0"/>
            <w:vAlign w:val="center"/>
          </w:tcPr>
          <w:p>
            <w:pPr>
              <w:jc w:val="center"/>
              <w:rPr>
                <w:rFonts w:hint="eastAsia" w:eastAsia="宋体"/>
                <w:color w:val="000000"/>
                <w:lang w:eastAsia="zh-CN"/>
              </w:rPr>
            </w:pPr>
            <w:r>
              <w:rPr>
                <w:rFonts w:hint="default" w:eastAsia="宋体"/>
                <w:color w:val="000000"/>
                <w:lang w:eastAsia="zh-CN"/>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rFonts w:hint="eastAsia" w:eastAsia="宋体"/>
                <w:color w:val="000000"/>
                <w:lang w:eastAsia="zh-CN"/>
              </w:rPr>
            </w:pPr>
            <w:r>
              <w:rPr>
                <w:rFonts w:hint="default" w:eastAsia="宋体"/>
                <w:color w:val="00000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525" w:type="dxa"/>
            <w:vMerge w:val="restart"/>
            <w:noWrap w:val="0"/>
            <w:vAlign w:val="center"/>
          </w:tcPr>
          <w:p>
            <w:pPr>
              <w:rPr>
                <w:color w:val="000000"/>
              </w:rPr>
            </w:pPr>
            <w:r>
              <w:rPr>
                <w:rFonts w:hint="eastAsia"/>
                <w:color w:val="000000"/>
              </w:rPr>
              <w:t>三、本年度办理结果</w:t>
            </w:r>
          </w:p>
        </w:tc>
        <w:tc>
          <w:tcPr>
            <w:tcW w:w="3949" w:type="dxa"/>
            <w:gridSpan w:val="2"/>
            <w:noWrap w:val="0"/>
            <w:vAlign w:val="top"/>
          </w:tcPr>
          <w:p>
            <w:pPr>
              <w:rPr>
                <w:rFonts w:ascii="宋体"/>
                <w:color w:val="000000"/>
                <w:sz w:val="18"/>
                <w:szCs w:val="18"/>
              </w:rPr>
            </w:pPr>
            <w:r>
              <w:rPr>
                <w:rFonts w:hint="eastAsia" w:ascii="宋体" w:hAnsi="宋体"/>
                <w:color w:val="000000"/>
                <w:sz w:val="18"/>
                <w:szCs w:val="18"/>
              </w:rPr>
              <w:t>（一）予以公开</w:t>
            </w:r>
          </w:p>
        </w:tc>
        <w:tc>
          <w:tcPr>
            <w:tcW w:w="554"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49</w:t>
            </w:r>
          </w:p>
        </w:tc>
        <w:tc>
          <w:tcPr>
            <w:tcW w:w="690"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1</w:t>
            </w:r>
          </w:p>
        </w:tc>
        <w:tc>
          <w:tcPr>
            <w:tcW w:w="675"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0</w:t>
            </w:r>
          </w:p>
        </w:tc>
        <w:tc>
          <w:tcPr>
            <w:tcW w:w="675"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0</w:t>
            </w:r>
          </w:p>
        </w:tc>
        <w:tc>
          <w:tcPr>
            <w:tcW w:w="705" w:type="dxa"/>
            <w:noWrap w:val="0"/>
            <w:vAlign w:val="center"/>
          </w:tcPr>
          <w:p>
            <w:pPr>
              <w:jc w:val="center"/>
              <w:rPr>
                <w:rFonts w:asciiTheme="minorHAnsi" w:hAnsiTheme="minorHAnsi" w:eastAsiaTheme="minorEastAsia" w:cstheme="minorBidi"/>
                <w:color w:val="000000"/>
                <w:kern w:val="2"/>
                <w:sz w:val="21"/>
                <w:szCs w:val="24"/>
                <w:lang w:val="en-US" w:eastAsia="zh-CN" w:bidi="ar-SA"/>
              </w:rPr>
            </w:pPr>
            <w:r>
              <w:rPr>
                <w:rFonts w:hint="eastAsia"/>
                <w:color w:val="000000"/>
              </w:rPr>
              <w:t>1</w:t>
            </w:r>
          </w:p>
        </w:tc>
        <w:tc>
          <w:tcPr>
            <w:tcW w:w="660"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0</w:t>
            </w:r>
          </w:p>
        </w:tc>
        <w:tc>
          <w:tcPr>
            <w:tcW w:w="646" w:type="dxa"/>
            <w:noWrap w:val="0"/>
            <w:vAlign w:val="center"/>
          </w:tcPr>
          <w:p>
            <w:pPr>
              <w:jc w:val="center"/>
              <w:rPr>
                <w:rFonts w:asciiTheme="minorHAnsi" w:hAnsiTheme="minorHAnsi" w:eastAsiaTheme="minorEastAsia" w:cstheme="minorBidi"/>
                <w:color w:val="000000"/>
                <w:kern w:val="2"/>
                <w:sz w:val="21"/>
                <w:szCs w:val="24"/>
                <w:lang w:eastAsia="zh-CN" w:bidi="ar-SA"/>
              </w:rPr>
            </w:pPr>
            <w:r>
              <w:rPr>
                <w:rFonts w:cstheme="minorBidi"/>
                <w:color w:val="000000"/>
                <w:kern w:val="2"/>
                <w:sz w:val="21"/>
                <w:szCs w:val="24"/>
                <w:lang w:eastAsia="zh-CN" w:bidi="ar-S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jc w:val="center"/>
        </w:trPr>
        <w:tc>
          <w:tcPr>
            <w:tcW w:w="525" w:type="dxa"/>
            <w:vMerge w:val="continue"/>
            <w:noWrap w:val="0"/>
            <w:vAlign w:val="top"/>
          </w:tcPr>
          <w:p>
            <w:pPr>
              <w:rPr>
                <w:color w:val="000000"/>
              </w:rPr>
            </w:pPr>
          </w:p>
        </w:tc>
        <w:tc>
          <w:tcPr>
            <w:tcW w:w="3949" w:type="dxa"/>
            <w:gridSpan w:val="2"/>
            <w:noWrap w:val="0"/>
            <w:vAlign w:val="top"/>
          </w:tcPr>
          <w:p>
            <w:pPr>
              <w:rPr>
                <w:rFonts w:ascii="宋体"/>
                <w:color w:val="000000"/>
                <w:sz w:val="18"/>
                <w:szCs w:val="18"/>
              </w:rPr>
            </w:pPr>
            <w:r>
              <w:rPr>
                <w:rFonts w:hint="eastAsia" w:ascii="宋体" w:hAnsi="宋体"/>
                <w:color w:val="000000"/>
                <w:sz w:val="18"/>
                <w:szCs w:val="18"/>
              </w:rPr>
              <w:t>（二）部分公开（区分处理的，只计这一情形，不计其他情形）</w:t>
            </w:r>
          </w:p>
        </w:tc>
        <w:tc>
          <w:tcPr>
            <w:tcW w:w="554" w:type="dxa"/>
            <w:noWrap w:val="0"/>
            <w:vAlign w:val="center"/>
          </w:tcPr>
          <w:p>
            <w:pPr>
              <w:jc w:val="center"/>
              <w:rPr>
                <w:color w:val="000000"/>
              </w:rPr>
            </w:pPr>
            <w:r>
              <w:rPr>
                <w:color w:val="000000"/>
              </w:rPr>
              <w:t>8</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jc w:val="center"/>
        </w:trPr>
        <w:tc>
          <w:tcPr>
            <w:tcW w:w="525" w:type="dxa"/>
            <w:vMerge w:val="continue"/>
            <w:noWrap w:val="0"/>
            <w:vAlign w:val="top"/>
          </w:tcPr>
          <w:p>
            <w:pPr>
              <w:rPr>
                <w:color w:val="000000"/>
              </w:rPr>
            </w:pPr>
          </w:p>
        </w:tc>
        <w:tc>
          <w:tcPr>
            <w:tcW w:w="1448" w:type="dxa"/>
            <w:vMerge w:val="restart"/>
            <w:noWrap w:val="0"/>
            <w:vAlign w:val="center"/>
          </w:tcPr>
          <w:p>
            <w:pPr>
              <w:rPr>
                <w:rFonts w:ascii="宋体"/>
                <w:color w:val="000000"/>
                <w:sz w:val="18"/>
                <w:szCs w:val="18"/>
              </w:rPr>
            </w:pPr>
            <w:r>
              <w:rPr>
                <w:rFonts w:hint="eastAsia" w:ascii="宋体" w:hAnsi="宋体"/>
                <w:color w:val="000000"/>
                <w:sz w:val="18"/>
                <w:szCs w:val="18"/>
              </w:rPr>
              <w:t>（三）不予公开</w:t>
            </w:r>
          </w:p>
        </w:tc>
        <w:tc>
          <w:tcPr>
            <w:tcW w:w="2501" w:type="dxa"/>
            <w:noWrap w:val="0"/>
            <w:vAlign w:val="top"/>
          </w:tcPr>
          <w:p>
            <w:pPr>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．属于国家秘密</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jc w:val="center"/>
        </w:trPr>
        <w:tc>
          <w:tcPr>
            <w:tcW w:w="525" w:type="dxa"/>
            <w:vMerge w:val="continue"/>
            <w:noWrap w:val="0"/>
            <w:vAlign w:val="top"/>
          </w:tcPr>
          <w:p>
            <w:pPr>
              <w:rPr>
                <w:color w:val="000000"/>
              </w:rPr>
            </w:pPr>
          </w:p>
        </w:tc>
        <w:tc>
          <w:tcPr>
            <w:tcW w:w="1448" w:type="dxa"/>
            <w:vMerge w:val="continue"/>
            <w:noWrap w:val="0"/>
            <w:vAlign w:val="center"/>
          </w:tcPr>
          <w:p>
            <w:pPr>
              <w:rPr>
                <w:rFonts w:ascii="宋体"/>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．其他法律行政法规禁止公开</w:t>
            </w:r>
          </w:p>
        </w:tc>
        <w:tc>
          <w:tcPr>
            <w:tcW w:w="554" w:type="dxa"/>
            <w:noWrap w:val="0"/>
            <w:vAlign w:val="center"/>
          </w:tcPr>
          <w:p>
            <w:pPr>
              <w:jc w:val="center"/>
              <w:rPr>
                <w:color w:val="000000"/>
              </w:rPr>
            </w:pPr>
            <w:r>
              <w:rPr>
                <w:color w:val="000000"/>
              </w:rPr>
              <w:t>2</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．危及“三安全一稳定”</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4</w:t>
            </w:r>
            <w:r>
              <w:rPr>
                <w:rFonts w:hint="eastAsia" w:ascii="宋体" w:hAnsi="宋体"/>
                <w:color w:val="000000"/>
                <w:sz w:val="18"/>
                <w:szCs w:val="18"/>
              </w:rPr>
              <w:t>．保护第三方合法权益</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5</w:t>
            </w:r>
            <w:r>
              <w:rPr>
                <w:rFonts w:hint="eastAsia" w:ascii="宋体" w:hAnsi="宋体"/>
                <w:color w:val="000000"/>
                <w:sz w:val="18"/>
                <w:szCs w:val="18"/>
              </w:rPr>
              <w:t>．属于三类内部事务信息</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6</w:t>
            </w:r>
            <w:r>
              <w:rPr>
                <w:rFonts w:hint="eastAsia" w:ascii="宋体" w:hAnsi="宋体"/>
                <w:color w:val="000000"/>
                <w:sz w:val="18"/>
                <w:szCs w:val="18"/>
              </w:rPr>
              <w:t>．属于四类过程性信息</w:t>
            </w:r>
          </w:p>
        </w:tc>
        <w:tc>
          <w:tcPr>
            <w:tcW w:w="554" w:type="dxa"/>
            <w:noWrap w:val="0"/>
            <w:vAlign w:val="center"/>
          </w:tcPr>
          <w:p>
            <w:pPr>
              <w:jc w:val="center"/>
              <w:rPr>
                <w:color w:val="000000"/>
              </w:rPr>
            </w:pPr>
            <w:r>
              <w:rPr>
                <w:color w:val="000000"/>
              </w:rPr>
              <w:t>1</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7</w:t>
            </w:r>
            <w:r>
              <w:rPr>
                <w:rFonts w:hint="eastAsia" w:ascii="宋体" w:hAnsi="宋体"/>
                <w:color w:val="000000"/>
                <w:sz w:val="18"/>
                <w:szCs w:val="18"/>
              </w:rPr>
              <w:t>．属于行政执法案卷</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8</w:t>
            </w:r>
            <w:r>
              <w:rPr>
                <w:rFonts w:hint="eastAsia" w:ascii="宋体" w:hAnsi="宋体"/>
                <w:color w:val="000000"/>
                <w:sz w:val="18"/>
                <w:szCs w:val="18"/>
              </w:rPr>
              <w:t>．属于行政查询事项</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0" w:hRule="atLeast"/>
          <w:jc w:val="center"/>
        </w:trPr>
        <w:tc>
          <w:tcPr>
            <w:tcW w:w="525" w:type="dxa"/>
            <w:vMerge w:val="continue"/>
            <w:noWrap w:val="0"/>
            <w:vAlign w:val="top"/>
          </w:tcPr>
          <w:p>
            <w:pPr>
              <w:rPr>
                <w:color w:val="000000"/>
              </w:rPr>
            </w:pPr>
          </w:p>
        </w:tc>
        <w:tc>
          <w:tcPr>
            <w:tcW w:w="1448" w:type="dxa"/>
            <w:vMerge w:val="restart"/>
            <w:noWrap w:val="0"/>
            <w:vAlign w:val="center"/>
          </w:tcPr>
          <w:p>
            <w:pPr>
              <w:rPr>
                <w:color w:val="000000"/>
                <w:sz w:val="18"/>
                <w:szCs w:val="18"/>
              </w:rPr>
            </w:pPr>
            <w:r>
              <w:rPr>
                <w:rFonts w:hint="eastAsia"/>
                <w:color w:val="000000"/>
                <w:sz w:val="18"/>
                <w:szCs w:val="18"/>
              </w:rPr>
              <w:t>（四）无法提供</w:t>
            </w:r>
          </w:p>
        </w:tc>
        <w:tc>
          <w:tcPr>
            <w:tcW w:w="2501" w:type="dxa"/>
            <w:noWrap w:val="0"/>
            <w:vAlign w:val="top"/>
          </w:tcPr>
          <w:p>
            <w:pPr>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．本机关不掌握相关政府信息</w:t>
            </w:r>
          </w:p>
        </w:tc>
        <w:tc>
          <w:tcPr>
            <w:tcW w:w="554" w:type="dxa"/>
            <w:noWrap w:val="0"/>
            <w:vAlign w:val="center"/>
          </w:tcPr>
          <w:p>
            <w:pPr>
              <w:jc w:val="center"/>
              <w:rPr>
                <w:color w:val="000000"/>
              </w:rPr>
            </w:pPr>
            <w:r>
              <w:rPr>
                <w:color w:val="000000"/>
              </w:rPr>
              <w:t>21</w:t>
            </w:r>
          </w:p>
        </w:tc>
        <w:tc>
          <w:tcPr>
            <w:tcW w:w="690" w:type="dxa"/>
            <w:noWrap w:val="0"/>
            <w:vAlign w:val="center"/>
          </w:tcPr>
          <w:p>
            <w:pPr>
              <w:jc w:val="both"/>
              <w:rPr>
                <w:color w:val="000000"/>
              </w:rPr>
            </w:pPr>
            <w:r>
              <w:rPr>
                <w:color w:val="000000"/>
              </w:rPr>
              <w:t xml:space="preserve">  1</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．没有现成信息需要另行制作</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525" w:type="dxa"/>
            <w:vMerge w:val="continue"/>
            <w:noWrap w:val="0"/>
            <w:vAlign w:val="top"/>
          </w:tcPr>
          <w:p>
            <w:pPr>
              <w:rPr>
                <w:color w:val="000000"/>
              </w:rPr>
            </w:pPr>
          </w:p>
        </w:tc>
        <w:tc>
          <w:tcPr>
            <w:tcW w:w="1448" w:type="dxa"/>
            <w:vMerge w:val="continue"/>
            <w:noWrap w:val="0"/>
            <w:vAlign w:val="center"/>
          </w:tcPr>
          <w:p>
            <w:pPr>
              <w:rPr>
                <w:color w:val="000000"/>
                <w:sz w:val="18"/>
                <w:szCs w:val="18"/>
              </w:rPr>
            </w:pPr>
          </w:p>
        </w:tc>
        <w:tc>
          <w:tcPr>
            <w:tcW w:w="2501" w:type="dxa"/>
            <w:noWrap w:val="0"/>
            <w:vAlign w:val="top"/>
          </w:tcPr>
          <w:p>
            <w:pPr>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．补正后申请内容仍不明确</w:t>
            </w:r>
          </w:p>
        </w:tc>
        <w:tc>
          <w:tcPr>
            <w:tcW w:w="554" w:type="dxa"/>
            <w:noWrap w:val="0"/>
            <w:vAlign w:val="center"/>
          </w:tcPr>
          <w:p>
            <w:pPr>
              <w:jc w:val="center"/>
              <w:rPr>
                <w:color w:val="000000"/>
              </w:rPr>
            </w:pPr>
            <w:r>
              <w:rPr>
                <w:color w:val="000000"/>
              </w:rPr>
              <w:t>1</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525" w:type="dxa"/>
            <w:vMerge w:val="continue"/>
            <w:noWrap w:val="0"/>
            <w:vAlign w:val="top"/>
          </w:tcPr>
          <w:p>
            <w:pPr>
              <w:rPr>
                <w:color w:val="000000"/>
              </w:rPr>
            </w:pPr>
          </w:p>
        </w:tc>
        <w:tc>
          <w:tcPr>
            <w:tcW w:w="1448" w:type="dxa"/>
            <w:vMerge w:val="restart"/>
            <w:noWrap w:val="0"/>
            <w:vAlign w:val="center"/>
          </w:tcPr>
          <w:p>
            <w:pPr>
              <w:rPr>
                <w:color w:val="000000"/>
                <w:sz w:val="18"/>
                <w:szCs w:val="18"/>
              </w:rPr>
            </w:pPr>
            <w:r>
              <w:rPr>
                <w:rFonts w:hint="eastAsia"/>
                <w:color w:val="000000"/>
                <w:sz w:val="18"/>
                <w:szCs w:val="18"/>
              </w:rPr>
              <w:t>（五）</w:t>
            </w:r>
            <w:r>
              <w:rPr>
                <w:rFonts w:hint="eastAsia" w:ascii="宋体" w:hAnsi="宋体"/>
                <w:color w:val="000000"/>
                <w:sz w:val="18"/>
                <w:szCs w:val="18"/>
              </w:rPr>
              <w:t>不予处理</w:t>
            </w:r>
          </w:p>
        </w:tc>
        <w:tc>
          <w:tcPr>
            <w:tcW w:w="2501" w:type="dxa"/>
            <w:noWrap w:val="0"/>
            <w:vAlign w:val="top"/>
          </w:tcPr>
          <w:p>
            <w:pPr>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．信访举报投诉类申请</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525" w:type="dxa"/>
            <w:vMerge w:val="continue"/>
            <w:noWrap w:val="0"/>
            <w:vAlign w:val="top"/>
          </w:tcPr>
          <w:p>
            <w:pPr>
              <w:rPr>
                <w:color w:val="000000"/>
              </w:rPr>
            </w:pPr>
          </w:p>
        </w:tc>
        <w:tc>
          <w:tcPr>
            <w:tcW w:w="1448" w:type="dxa"/>
            <w:vMerge w:val="continue"/>
            <w:noWrap w:val="0"/>
            <w:vAlign w:val="top"/>
          </w:tcPr>
          <w:p>
            <w:pPr>
              <w:rPr>
                <w:color w:val="000000"/>
              </w:rPr>
            </w:pPr>
          </w:p>
        </w:tc>
        <w:tc>
          <w:tcPr>
            <w:tcW w:w="2501" w:type="dxa"/>
            <w:noWrap w:val="0"/>
            <w:vAlign w:val="top"/>
          </w:tcPr>
          <w:p>
            <w:pPr>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．重复申请</w:t>
            </w:r>
          </w:p>
        </w:tc>
        <w:tc>
          <w:tcPr>
            <w:tcW w:w="554" w:type="dxa"/>
            <w:noWrap w:val="0"/>
            <w:vAlign w:val="center"/>
          </w:tcPr>
          <w:p>
            <w:pPr>
              <w:jc w:val="center"/>
              <w:rPr>
                <w:color w:val="000000"/>
              </w:rPr>
            </w:pPr>
            <w:r>
              <w:rPr>
                <w:color w:val="000000"/>
              </w:rPr>
              <w:t>1</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525" w:type="dxa"/>
            <w:vMerge w:val="continue"/>
            <w:noWrap w:val="0"/>
            <w:vAlign w:val="top"/>
          </w:tcPr>
          <w:p>
            <w:pPr>
              <w:rPr>
                <w:color w:val="000000"/>
              </w:rPr>
            </w:pPr>
          </w:p>
        </w:tc>
        <w:tc>
          <w:tcPr>
            <w:tcW w:w="1448" w:type="dxa"/>
            <w:vMerge w:val="continue"/>
            <w:noWrap w:val="0"/>
            <w:vAlign w:val="top"/>
          </w:tcPr>
          <w:p>
            <w:pPr>
              <w:rPr>
                <w:color w:val="000000"/>
              </w:rPr>
            </w:pPr>
          </w:p>
        </w:tc>
        <w:tc>
          <w:tcPr>
            <w:tcW w:w="2501" w:type="dxa"/>
            <w:noWrap w:val="0"/>
            <w:vAlign w:val="top"/>
          </w:tcPr>
          <w:p>
            <w:pPr>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．要求提供公开出版物</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525" w:type="dxa"/>
            <w:vMerge w:val="continue"/>
            <w:noWrap w:val="0"/>
            <w:vAlign w:val="top"/>
          </w:tcPr>
          <w:p>
            <w:pPr>
              <w:rPr>
                <w:color w:val="000000"/>
              </w:rPr>
            </w:pPr>
          </w:p>
        </w:tc>
        <w:tc>
          <w:tcPr>
            <w:tcW w:w="1448" w:type="dxa"/>
            <w:vMerge w:val="continue"/>
            <w:noWrap w:val="0"/>
            <w:vAlign w:val="top"/>
          </w:tcPr>
          <w:p>
            <w:pPr>
              <w:rPr>
                <w:color w:val="000000"/>
              </w:rPr>
            </w:pPr>
          </w:p>
        </w:tc>
        <w:tc>
          <w:tcPr>
            <w:tcW w:w="2501" w:type="dxa"/>
            <w:noWrap w:val="0"/>
            <w:vAlign w:val="top"/>
          </w:tcPr>
          <w:p>
            <w:pPr>
              <w:rPr>
                <w:rFonts w:ascii="宋体"/>
                <w:color w:val="000000"/>
                <w:sz w:val="18"/>
                <w:szCs w:val="18"/>
              </w:rPr>
            </w:pPr>
            <w:r>
              <w:rPr>
                <w:rFonts w:ascii="宋体" w:hAnsi="宋体"/>
                <w:color w:val="000000"/>
                <w:sz w:val="18"/>
                <w:szCs w:val="18"/>
              </w:rPr>
              <w:t>4</w:t>
            </w:r>
            <w:r>
              <w:rPr>
                <w:rFonts w:hint="eastAsia" w:ascii="宋体" w:hAnsi="宋体"/>
                <w:color w:val="000000"/>
                <w:sz w:val="18"/>
                <w:szCs w:val="18"/>
              </w:rPr>
              <w:t>．无正当理由大量反复申请</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jc w:val="center"/>
        </w:trPr>
        <w:tc>
          <w:tcPr>
            <w:tcW w:w="525" w:type="dxa"/>
            <w:vMerge w:val="continue"/>
            <w:noWrap w:val="0"/>
            <w:vAlign w:val="top"/>
          </w:tcPr>
          <w:p>
            <w:pPr>
              <w:rPr>
                <w:color w:val="000000"/>
              </w:rPr>
            </w:pPr>
          </w:p>
        </w:tc>
        <w:tc>
          <w:tcPr>
            <w:tcW w:w="1448" w:type="dxa"/>
            <w:vMerge w:val="continue"/>
            <w:noWrap w:val="0"/>
            <w:vAlign w:val="top"/>
          </w:tcPr>
          <w:p>
            <w:pPr>
              <w:rPr>
                <w:color w:val="000000"/>
              </w:rPr>
            </w:pPr>
          </w:p>
        </w:tc>
        <w:tc>
          <w:tcPr>
            <w:tcW w:w="2501" w:type="dxa"/>
            <w:noWrap w:val="0"/>
            <w:vAlign w:val="top"/>
          </w:tcPr>
          <w:p>
            <w:pPr>
              <w:ind w:left="31680" w:hanging="180" w:hangingChars="100"/>
              <w:rPr>
                <w:rFonts w:ascii="宋体"/>
                <w:color w:val="000000"/>
                <w:sz w:val="18"/>
                <w:szCs w:val="18"/>
              </w:rPr>
            </w:pPr>
            <w:r>
              <w:rPr>
                <w:rFonts w:ascii="宋体" w:hAnsi="宋体"/>
                <w:color w:val="000000"/>
                <w:sz w:val="18"/>
                <w:szCs w:val="18"/>
              </w:rPr>
              <w:t>5</w:t>
            </w:r>
            <w:r>
              <w:rPr>
                <w:rFonts w:hint="eastAsia" w:ascii="宋体" w:hAnsi="宋体"/>
                <w:color w:val="000000"/>
                <w:sz w:val="18"/>
                <w:szCs w:val="18"/>
              </w:rPr>
              <w:t>．要求行政机关确认或重新出具已获取信息</w:t>
            </w:r>
          </w:p>
        </w:tc>
        <w:tc>
          <w:tcPr>
            <w:tcW w:w="554" w:type="dxa"/>
            <w:noWrap w:val="0"/>
            <w:vAlign w:val="center"/>
          </w:tcPr>
          <w:p>
            <w:pPr>
              <w:jc w:val="center"/>
              <w:rPr>
                <w:color w:val="000000"/>
              </w:rPr>
            </w:pPr>
            <w:r>
              <w:rPr>
                <w:color w:val="000000"/>
              </w:rPr>
              <w:t>0</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jc w:val="center"/>
        </w:trPr>
        <w:tc>
          <w:tcPr>
            <w:tcW w:w="525" w:type="dxa"/>
            <w:noWrap w:val="0"/>
            <w:vAlign w:val="top"/>
          </w:tcPr>
          <w:p>
            <w:pPr>
              <w:rPr>
                <w:color w:val="000000"/>
              </w:rPr>
            </w:pPr>
          </w:p>
        </w:tc>
        <w:tc>
          <w:tcPr>
            <w:tcW w:w="3949" w:type="dxa"/>
            <w:gridSpan w:val="2"/>
            <w:noWrap w:val="0"/>
            <w:vAlign w:val="center"/>
          </w:tcPr>
          <w:p>
            <w:pPr>
              <w:rPr>
                <w:color w:val="000000"/>
                <w:sz w:val="18"/>
                <w:szCs w:val="18"/>
              </w:rPr>
            </w:pPr>
            <w:r>
              <w:rPr>
                <w:rFonts w:hint="eastAsia"/>
                <w:color w:val="000000"/>
                <w:sz w:val="18"/>
                <w:szCs w:val="18"/>
              </w:rPr>
              <w:t>（六）其他处理</w:t>
            </w:r>
          </w:p>
        </w:tc>
        <w:tc>
          <w:tcPr>
            <w:tcW w:w="554" w:type="dxa"/>
            <w:noWrap w:val="0"/>
            <w:vAlign w:val="center"/>
          </w:tcPr>
          <w:p>
            <w:pPr>
              <w:jc w:val="center"/>
              <w:rPr>
                <w:color w:val="000000"/>
              </w:rPr>
            </w:pPr>
            <w:r>
              <w:rPr>
                <w:color w:val="000000"/>
              </w:rPr>
              <w:t>1</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3" w:hRule="atLeast"/>
          <w:jc w:val="center"/>
        </w:trPr>
        <w:tc>
          <w:tcPr>
            <w:tcW w:w="525" w:type="dxa"/>
            <w:noWrap w:val="0"/>
            <w:vAlign w:val="top"/>
          </w:tcPr>
          <w:p>
            <w:pPr>
              <w:rPr>
                <w:color w:val="000000"/>
              </w:rPr>
            </w:pPr>
          </w:p>
        </w:tc>
        <w:tc>
          <w:tcPr>
            <w:tcW w:w="3949" w:type="dxa"/>
            <w:gridSpan w:val="2"/>
            <w:noWrap w:val="0"/>
            <w:vAlign w:val="center"/>
          </w:tcPr>
          <w:p>
            <w:pPr>
              <w:rPr>
                <w:color w:val="000000"/>
                <w:sz w:val="18"/>
                <w:szCs w:val="18"/>
              </w:rPr>
            </w:pPr>
            <w:r>
              <w:rPr>
                <w:rFonts w:hint="eastAsia"/>
                <w:color w:val="000000"/>
                <w:sz w:val="18"/>
                <w:szCs w:val="18"/>
              </w:rPr>
              <w:t>（七）总计</w:t>
            </w:r>
          </w:p>
        </w:tc>
        <w:tc>
          <w:tcPr>
            <w:tcW w:w="554" w:type="dxa"/>
            <w:noWrap w:val="0"/>
            <w:vAlign w:val="center"/>
          </w:tcPr>
          <w:p>
            <w:pPr>
              <w:jc w:val="both"/>
              <w:rPr>
                <w:color w:val="000000"/>
              </w:rPr>
            </w:pPr>
            <w:r>
              <w:rPr>
                <w:color w:val="000000"/>
              </w:rPr>
              <w:t>84</w:t>
            </w:r>
          </w:p>
        </w:tc>
        <w:tc>
          <w:tcPr>
            <w:tcW w:w="690" w:type="dxa"/>
            <w:noWrap w:val="0"/>
            <w:vAlign w:val="center"/>
          </w:tcPr>
          <w:p>
            <w:pPr>
              <w:jc w:val="center"/>
              <w:rPr>
                <w:color w:val="000000"/>
              </w:rPr>
            </w:pPr>
            <w:r>
              <w:rPr>
                <w:color w:val="000000"/>
              </w:rPr>
              <w:t>2</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1</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4474" w:type="dxa"/>
            <w:gridSpan w:val="3"/>
            <w:noWrap w:val="0"/>
            <w:vAlign w:val="center"/>
          </w:tcPr>
          <w:p>
            <w:pPr>
              <w:rPr>
                <w:color w:val="000000"/>
              </w:rPr>
            </w:pPr>
            <w:r>
              <w:rPr>
                <w:rFonts w:hint="eastAsia"/>
                <w:color w:val="000000"/>
              </w:rPr>
              <w:t>四、结转下年度继续办理</w:t>
            </w:r>
          </w:p>
        </w:tc>
        <w:tc>
          <w:tcPr>
            <w:tcW w:w="554" w:type="dxa"/>
            <w:noWrap w:val="0"/>
            <w:vAlign w:val="center"/>
          </w:tcPr>
          <w:p>
            <w:pPr>
              <w:jc w:val="center"/>
              <w:rPr>
                <w:color w:val="000000"/>
              </w:rPr>
            </w:pPr>
            <w:r>
              <w:rPr>
                <w:color w:val="000000"/>
              </w:rPr>
              <w:t>4</w:t>
            </w:r>
          </w:p>
        </w:tc>
        <w:tc>
          <w:tcPr>
            <w:tcW w:w="690"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675" w:type="dxa"/>
            <w:noWrap w:val="0"/>
            <w:vAlign w:val="center"/>
          </w:tcPr>
          <w:p>
            <w:pPr>
              <w:jc w:val="center"/>
              <w:rPr>
                <w:color w:val="000000"/>
              </w:rPr>
            </w:pPr>
            <w:r>
              <w:rPr>
                <w:color w:val="000000"/>
              </w:rPr>
              <w:t>0</w:t>
            </w:r>
          </w:p>
        </w:tc>
        <w:tc>
          <w:tcPr>
            <w:tcW w:w="705" w:type="dxa"/>
            <w:noWrap w:val="0"/>
            <w:vAlign w:val="center"/>
          </w:tcPr>
          <w:p>
            <w:pPr>
              <w:jc w:val="center"/>
              <w:rPr>
                <w:color w:val="000000"/>
              </w:rPr>
            </w:pPr>
            <w:r>
              <w:rPr>
                <w:color w:val="000000"/>
              </w:rPr>
              <w:t>0</w:t>
            </w:r>
          </w:p>
        </w:tc>
        <w:tc>
          <w:tcPr>
            <w:tcW w:w="660" w:type="dxa"/>
            <w:noWrap w:val="0"/>
            <w:vAlign w:val="center"/>
          </w:tcPr>
          <w:p>
            <w:pPr>
              <w:jc w:val="center"/>
              <w:rPr>
                <w:color w:val="000000"/>
              </w:rPr>
            </w:pPr>
            <w:r>
              <w:rPr>
                <w:color w:val="000000"/>
              </w:rPr>
              <w:t>0</w:t>
            </w:r>
          </w:p>
        </w:tc>
        <w:tc>
          <w:tcPr>
            <w:tcW w:w="646" w:type="dxa"/>
            <w:noWrap w:val="0"/>
            <w:vAlign w:val="center"/>
          </w:tcPr>
          <w:p>
            <w:pPr>
              <w:jc w:val="center"/>
              <w:rPr>
                <w:color w:val="000000"/>
              </w:rPr>
            </w:pPr>
            <w:r>
              <w:rPr>
                <w:color w:val="000000"/>
              </w:rPr>
              <w:t>4</w:t>
            </w:r>
          </w:p>
        </w:tc>
      </w:tr>
    </w:tbl>
    <w:p>
      <w:pPr>
        <w:keepNext w:val="0"/>
        <w:keepLines w:val="0"/>
        <w:pageBreakBefore w:val="0"/>
        <w:widowControl w:val="0"/>
        <w:kinsoku/>
        <w:wordWrap/>
        <w:overflowPunct/>
        <w:topLinePunct w:val="0"/>
        <w:autoSpaceDE/>
        <w:autoSpaceDN/>
        <w:bidi w:val="0"/>
        <w:adjustRightInd/>
        <w:snapToGrid/>
        <w:spacing w:before="313" w:beforeLines="100" w:after="157" w:afterLines="50"/>
        <w:ind w:firstLine="640" w:firstLineChars="200"/>
        <w:textAlignment w:val="auto"/>
        <w:rPr>
          <w:rFonts w:ascii="黑体" w:hAnsi="黑体" w:eastAsia="黑体"/>
          <w:b w:val="0"/>
          <w:bCs/>
          <w:color w:val="000000"/>
          <w:sz w:val="32"/>
          <w:szCs w:val="32"/>
        </w:rPr>
      </w:pPr>
      <w:r>
        <w:rPr>
          <w:rFonts w:hint="eastAsia" w:ascii="黑体" w:hAnsi="黑体" w:eastAsia="黑体"/>
          <w:b w:val="0"/>
          <w:bCs/>
          <w:color w:val="000000"/>
          <w:sz w:val="32"/>
          <w:szCs w:val="32"/>
        </w:rPr>
        <w:t>四</w:t>
      </w:r>
      <w:r>
        <w:rPr>
          <w:rFonts w:hint="eastAsia" w:ascii="黑体" w:hAnsi="黑体" w:eastAsia="黑体"/>
          <w:b w:val="0"/>
          <w:bCs/>
          <w:color w:val="000000"/>
          <w:sz w:val="32"/>
          <w:szCs w:val="32"/>
          <w:lang w:eastAsia="zh-CN"/>
        </w:rPr>
        <w:t>、</w:t>
      </w:r>
      <w:r>
        <w:rPr>
          <w:rFonts w:hint="eastAsia" w:ascii="黑体" w:hAnsi="黑体" w:eastAsia="黑体"/>
          <w:b w:val="0"/>
          <w:bCs/>
          <w:color w:val="000000"/>
          <w:sz w:val="32"/>
          <w:szCs w:val="32"/>
        </w:rPr>
        <w:t>政府信息公开行政复议、行政诉讼情况</w:t>
      </w:r>
    </w:p>
    <w:tbl>
      <w:tblPr>
        <w:tblStyle w:val="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646"/>
        <w:gridCol w:w="646"/>
        <w:gridCol w:w="690"/>
        <w:gridCol w:w="476"/>
        <w:gridCol w:w="646"/>
        <w:gridCol w:w="646"/>
        <w:gridCol w:w="646"/>
        <w:gridCol w:w="646"/>
        <w:gridCol w:w="520"/>
        <w:gridCol w:w="776"/>
        <w:gridCol w:w="688"/>
        <w:gridCol w:w="661"/>
        <w:gridCol w:w="676"/>
        <w:gridCol w:w="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3104" w:type="dxa"/>
            <w:gridSpan w:val="5"/>
            <w:noWrap w:val="0"/>
            <w:vAlign w:val="center"/>
          </w:tcPr>
          <w:p>
            <w:pPr>
              <w:jc w:val="center"/>
              <w:rPr>
                <w:color w:val="000000"/>
                <w:szCs w:val="21"/>
              </w:rPr>
            </w:pPr>
            <w:r>
              <w:rPr>
                <w:rFonts w:hint="eastAsia"/>
                <w:color w:val="000000"/>
                <w:szCs w:val="21"/>
              </w:rPr>
              <w:t>行政复议</w:t>
            </w:r>
          </w:p>
        </w:tc>
        <w:tc>
          <w:tcPr>
            <w:tcW w:w="6275" w:type="dxa"/>
            <w:gridSpan w:val="10"/>
            <w:noWrap w:val="0"/>
            <w:vAlign w:val="center"/>
          </w:tcPr>
          <w:p>
            <w:pPr>
              <w:jc w:val="center"/>
              <w:rPr>
                <w:color w:val="000000"/>
                <w:szCs w:val="21"/>
              </w:rPr>
            </w:pPr>
            <w:r>
              <w:rPr>
                <w:rFonts w:hint="eastAsia"/>
                <w:color w:val="00000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jc w:val="center"/>
        </w:trPr>
        <w:tc>
          <w:tcPr>
            <w:tcW w:w="646" w:type="dxa"/>
            <w:vMerge w:val="restart"/>
            <w:noWrap w:val="0"/>
            <w:vAlign w:val="center"/>
          </w:tcPr>
          <w:p>
            <w:pPr>
              <w:jc w:val="center"/>
              <w:rPr>
                <w:color w:val="000000"/>
                <w:szCs w:val="21"/>
              </w:rPr>
            </w:pPr>
            <w:r>
              <w:rPr>
                <w:rFonts w:hint="eastAsia"/>
                <w:color w:val="000000"/>
                <w:szCs w:val="21"/>
              </w:rPr>
              <w:t>结果维持</w:t>
            </w:r>
          </w:p>
        </w:tc>
        <w:tc>
          <w:tcPr>
            <w:tcW w:w="646" w:type="dxa"/>
            <w:vMerge w:val="restart"/>
            <w:noWrap w:val="0"/>
            <w:vAlign w:val="center"/>
          </w:tcPr>
          <w:p>
            <w:pPr>
              <w:jc w:val="center"/>
              <w:rPr>
                <w:color w:val="000000"/>
                <w:szCs w:val="21"/>
              </w:rPr>
            </w:pPr>
            <w:r>
              <w:rPr>
                <w:rFonts w:hint="eastAsia"/>
                <w:color w:val="000000"/>
                <w:szCs w:val="21"/>
              </w:rPr>
              <w:t>结果纠正</w:t>
            </w:r>
          </w:p>
        </w:tc>
        <w:tc>
          <w:tcPr>
            <w:tcW w:w="646" w:type="dxa"/>
            <w:vMerge w:val="restart"/>
            <w:noWrap w:val="0"/>
            <w:vAlign w:val="center"/>
          </w:tcPr>
          <w:p>
            <w:pPr>
              <w:jc w:val="center"/>
              <w:rPr>
                <w:color w:val="000000"/>
                <w:szCs w:val="21"/>
              </w:rPr>
            </w:pPr>
            <w:r>
              <w:rPr>
                <w:rFonts w:hint="eastAsia"/>
                <w:color w:val="000000"/>
                <w:szCs w:val="21"/>
              </w:rPr>
              <w:t>其他结果</w:t>
            </w:r>
          </w:p>
        </w:tc>
        <w:tc>
          <w:tcPr>
            <w:tcW w:w="690" w:type="dxa"/>
            <w:vMerge w:val="restart"/>
            <w:noWrap w:val="0"/>
            <w:vAlign w:val="center"/>
          </w:tcPr>
          <w:p>
            <w:pPr>
              <w:jc w:val="center"/>
              <w:rPr>
                <w:color w:val="000000"/>
                <w:szCs w:val="21"/>
              </w:rPr>
            </w:pPr>
            <w:r>
              <w:rPr>
                <w:rFonts w:hint="eastAsia"/>
                <w:color w:val="000000"/>
                <w:szCs w:val="21"/>
              </w:rPr>
              <w:t>尚未审结</w:t>
            </w:r>
          </w:p>
        </w:tc>
        <w:tc>
          <w:tcPr>
            <w:tcW w:w="476" w:type="dxa"/>
            <w:vMerge w:val="restart"/>
            <w:noWrap w:val="0"/>
            <w:vAlign w:val="center"/>
          </w:tcPr>
          <w:p>
            <w:pPr>
              <w:jc w:val="center"/>
              <w:rPr>
                <w:color w:val="000000"/>
                <w:szCs w:val="21"/>
              </w:rPr>
            </w:pPr>
            <w:r>
              <w:rPr>
                <w:rFonts w:hint="eastAsia"/>
                <w:color w:val="000000"/>
                <w:szCs w:val="21"/>
              </w:rPr>
              <w:t>总计</w:t>
            </w:r>
          </w:p>
        </w:tc>
        <w:tc>
          <w:tcPr>
            <w:tcW w:w="3104" w:type="dxa"/>
            <w:gridSpan w:val="5"/>
            <w:noWrap w:val="0"/>
            <w:vAlign w:val="center"/>
          </w:tcPr>
          <w:p>
            <w:pPr>
              <w:jc w:val="center"/>
              <w:rPr>
                <w:color w:val="000000"/>
                <w:szCs w:val="21"/>
              </w:rPr>
            </w:pPr>
            <w:r>
              <w:rPr>
                <w:rFonts w:hint="eastAsia"/>
                <w:color w:val="000000"/>
                <w:szCs w:val="21"/>
              </w:rPr>
              <w:t>未经复议直接起诉</w:t>
            </w:r>
          </w:p>
        </w:tc>
        <w:tc>
          <w:tcPr>
            <w:tcW w:w="3171" w:type="dxa"/>
            <w:gridSpan w:val="5"/>
            <w:noWrap w:val="0"/>
            <w:vAlign w:val="center"/>
          </w:tcPr>
          <w:p>
            <w:pPr>
              <w:jc w:val="center"/>
              <w:rPr>
                <w:color w:val="000000"/>
                <w:szCs w:val="21"/>
              </w:rPr>
            </w:pPr>
            <w:r>
              <w:rPr>
                <w:rFonts w:hint="eastAsia"/>
                <w:color w:val="00000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646" w:type="dxa"/>
            <w:vMerge w:val="continue"/>
            <w:noWrap w:val="0"/>
            <w:vAlign w:val="center"/>
          </w:tcPr>
          <w:p>
            <w:pPr>
              <w:jc w:val="center"/>
              <w:rPr>
                <w:color w:val="000000"/>
                <w:sz w:val="18"/>
                <w:szCs w:val="18"/>
              </w:rPr>
            </w:pPr>
          </w:p>
        </w:tc>
        <w:tc>
          <w:tcPr>
            <w:tcW w:w="646" w:type="dxa"/>
            <w:vMerge w:val="continue"/>
            <w:noWrap w:val="0"/>
            <w:vAlign w:val="center"/>
          </w:tcPr>
          <w:p>
            <w:pPr>
              <w:jc w:val="center"/>
              <w:rPr>
                <w:color w:val="000000"/>
                <w:sz w:val="18"/>
                <w:szCs w:val="18"/>
              </w:rPr>
            </w:pPr>
          </w:p>
        </w:tc>
        <w:tc>
          <w:tcPr>
            <w:tcW w:w="646" w:type="dxa"/>
            <w:vMerge w:val="continue"/>
            <w:noWrap w:val="0"/>
            <w:vAlign w:val="center"/>
          </w:tcPr>
          <w:p>
            <w:pPr>
              <w:jc w:val="center"/>
              <w:rPr>
                <w:color w:val="000000"/>
                <w:sz w:val="18"/>
                <w:szCs w:val="18"/>
              </w:rPr>
            </w:pPr>
          </w:p>
        </w:tc>
        <w:tc>
          <w:tcPr>
            <w:tcW w:w="690" w:type="dxa"/>
            <w:vMerge w:val="continue"/>
            <w:noWrap w:val="0"/>
            <w:vAlign w:val="center"/>
          </w:tcPr>
          <w:p>
            <w:pPr>
              <w:jc w:val="center"/>
              <w:rPr>
                <w:color w:val="000000"/>
                <w:szCs w:val="21"/>
              </w:rPr>
            </w:pPr>
          </w:p>
        </w:tc>
        <w:tc>
          <w:tcPr>
            <w:tcW w:w="476" w:type="dxa"/>
            <w:vMerge w:val="continue"/>
            <w:noWrap w:val="0"/>
            <w:vAlign w:val="center"/>
          </w:tcPr>
          <w:p>
            <w:pPr>
              <w:jc w:val="center"/>
              <w:rPr>
                <w:color w:val="000000"/>
                <w:szCs w:val="21"/>
              </w:rPr>
            </w:pPr>
          </w:p>
        </w:tc>
        <w:tc>
          <w:tcPr>
            <w:tcW w:w="646" w:type="dxa"/>
            <w:noWrap w:val="0"/>
            <w:vAlign w:val="center"/>
          </w:tcPr>
          <w:p>
            <w:pPr>
              <w:jc w:val="center"/>
              <w:rPr>
                <w:color w:val="000000"/>
                <w:szCs w:val="21"/>
              </w:rPr>
            </w:pPr>
            <w:r>
              <w:rPr>
                <w:rFonts w:hint="eastAsia"/>
                <w:color w:val="000000"/>
                <w:szCs w:val="21"/>
              </w:rPr>
              <w:t>结果维持</w:t>
            </w:r>
          </w:p>
        </w:tc>
        <w:tc>
          <w:tcPr>
            <w:tcW w:w="646" w:type="dxa"/>
            <w:noWrap w:val="0"/>
            <w:vAlign w:val="center"/>
          </w:tcPr>
          <w:p>
            <w:pPr>
              <w:jc w:val="center"/>
              <w:rPr>
                <w:color w:val="000000"/>
                <w:szCs w:val="21"/>
              </w:rPr>
            </w:pPr>
            <w:r>
              <w:rPr>
                <w:rFonts w:hint="eastAsia"/>
                <w:color w:val="000000"/>
                <w:szCs w:val="21"/>
              </w:rPr>
              <w:t>结果纠正</w:t>
            </w:r>
          </w:p>
        </w:tc>
        <w:tc>
          <w:tcPr>
            <w:tcW w:w="646" w:type="dxa"/>
            <w:noWrap w:val="0"/>
            <w:vAlign w:val="center"/>
          </w:tcPr>
          <w:p>
            <w:pPr>
              <w:jc w:val="center"/>
              <w:rPr>
                <w:color w:val="000000"/>
                <w:szCs w:val="21"/>
              </w:rPr>
            </w:pPr>
            <w:r>
              <w:rPr>
                <w:rFonts w:hint="eastAsia"/>
                <w:color w:val="000000"/>
                <w:szCs w:val="21"/>
              </w:rPr>
              <w:t>其他结果</w:t>
            </w:r>
          </w:p>
        </w:tc>
        <w:tc>
          <w:tcPr>
            <w:tcW w:w="646" w:type="dxa"/>
            <w:noWrap w:val="0"/>
            <w:vAlign w:val="center"/>
          </w:tcPr>
          <w:p>
            <w:pPr>
              <w:jc w:val="center"/>
              <w:rPr>
                <w:color w:val="000000"/>
                <w:szCs w:val="21"/>
              </w:rPr>
            </w:pPr>
            <w:r>
              <w:rPr>
                <w:rFonts w:hint="eastAsia"/>
                <w:color w:val="000000"/>
                <w:szCs w:val="21"/>
              </w:rPr>
              <w:t>尚未审结</w:t>
            </w:r>
          </w:p>
        </w:tc>
        <w:tc>
          <w:tcPr>
            <w:tcW w:w="520" w:type="dxa"/>
            <w:noWrap w:val="0"/>
            <w:vAlign w:val="center"/>
          </w:tcPr>
          <w:p>
            <w:pPr>
              <w:jc w:val="center"/>
              <w:rPr>
                <w:color w:val="000000"/>
                <w:szCs w:val="21"/>
              </w:rPr>
            </w:pPr>
            <w:r>
              <w:rPr>
                <w:rFonts w:hint="eastAsia"/>
                <w:color w:val="000000"/>
                <w:szCs w:val="21"/>
              </w:rPr>
              <w:t>总计</w:t>
            </w:r>
          </w:p>
        </w:tc>
        <w:tc>
          <w:tcPr>
            <w:tcW w:w="776" w:type="dxa"/>
            <w:noWrap w:val="0"/>
            <w:vAlign w:val="center"/>
          </w:tcPr>
          <w:p>
            <w:pPr>
              <w:jc w:val="center"/>
              <w:rPr>
                <w:color w:val="000000"/>
                <w:szCs w:val="21"/>
              </w:rPr>
            </w:pPr>
            <w:r>
              <w:rPr>
                <w:rFonts w:hint="eastAsia"/>
                <w:color w:val="000000"/>
                <w:szCs w:val="21"/>
              </w:rPr>
              <w:t>结果维持</w:t>
            </w:r>
          </w:p>
        </w:tc>
        <w:tc>
          <w:tcPr>
            <w:tcW w:w="688" w:type="dxa"/>
            <w:noWrap w:val="0"/>
            <w:vAlign w:val="center"/>
          </w:tcPr>
          <w:p>
            <w:pPr>
              <w:jc w:val="center"/>
              <w:rPr>
                <w:color w:val="000000"/>
                <w:szCs w:val="21"/>
              </w:rPr>
            </w:pPr>
            <w:r>
              <w:rPr>
                <w:rFonts w:hint="eastAsia"/>
                <w:color w:val="000000"/>
                <w:szCs w:val="21"/>
              </w:rPr>
              <w:t>结果纠正</w:t>
            </w:r>
          </w:p>
        </w:tc>
        <w:tc>
          <w:tcPr>
            <w:tcW w:w="661" w:type="dxa"/>
            <w:noWrap w:val="0"/>
            <w:vAlign w:val="center"/>
          </w:tcPr>
          <w:p>
            <w:pPr>
              <w:jc w:val="center"/>
              <w:rPr>
                <w:color w:val="000000"/>
                <w:szCs w:val="21"/>
              </w:rPr>
            </w:pPr>
            <w:r>
              <w:rPr>
                <w:rFonts w:hint="eastAsia"/>
                <w:color w:val="000000"/>
                <w:szCs w:val="21"/>
              </w:rPr>
              <w:t>其他结果</w:t>
            </w:r>
          </w:p>
        </w:tc>
        <w:tc>
          <w:tcPr>
            <w:tcW w:w="676" w:type="dxa"/>
            <w:noWrap w:val="0"/>
            <w:vAlign w:val="center"/>
          </w:tcPr>
          <w:p>
            <w:pPr>
              <w:jc w:val="center"/>
              <w:rPr>
                <w:color w:val="000000"/>
                <w:szCs w:val="21"/>
              </w:rPr>
            </w:pPr>
            <w:r>
              <w:rPr>
                <w:rFonts w:hint="eastAsia"/>
                <w:color w:val="000000"/>
                <w:szCs w:val="21"/>
              </w:rPr>
              <w:t>尚未审结</w:t>
            </w:r>
          </w:p>
        </w:tc>
        <w:tc>
          <w:tcPr>
            <w:tcW w:w="370" w:type="dxa"/>
            <w:noWrap w:val="0"/>
            <w:vAlign w:val="center"/>
          </w:tcPr>
          <w:p>
            <w:pPr>
              <w:jc w:val="center"/>
              <w:rPr>
                <w:color w:val="000000"/>
                <w:szCs w:val="21"/>
              </w:rPr>
            </w:pPr>
            <w:r>
              <w:rPr>
                <w:rFonts w:hint="eastAsia"/>
                <w:color w:val="00000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646" w:type="dxa"/>
            <w:noWrap w:val="0"/>
            <w:vAlign w:val="center"/>
          </w:tcPr>
          <w:p>
            <w:pPr>
              <w:jc w:val="center"/>
              <w:rPr>
                <w:color w:val="000000"/>
                <w:sz w:val="18"/>
                <w:szCs w:val="18"/>
              </w:rPr>
            </w:pPr>
            <w:r>
              <w:rPr>
                <w:color w:val="000000"/>
                <w:sz w:val="18"/>
                <w:szCs w:val="18"/>
              </w:rPr>
              <w:t>1</w:t>
            </w:r>
          </w:p>
        </w:tc>
        <w:tc>
          <w:tcPr>
            <w:tcW w:w="646" w:type="dxa"/>
            <w:noWrap w:val="0"/>
            <w:vAlign w:val="center"/>
          </w:tcPr>
          <w:p>
            <w:pPr>
              <w:jc w:val="center"/>
              <w:rPr>
                <w:color w:val="000000"/>
                <w:sz w:val="18"/>
                <w:szCs w:val="18"/>
              </w:rPr>
            </w:pPr>
            <w:r>
              <w:rPr>
                <w:color w:val="000000"/>
                <w:sz w:val="18"/>
                <w:szCs w:val="18"/>
              </w:rPr>
              <w:t>0</w:t>
            </w:r>
          </w:p>
        </w:tc>
        <w:tc>
          <w:tcPr>
            <w:tcW w:w="646" w:type="dxa"/>
            <w:noWrap w:val="0"/>
            <w:vAlign w:val="center"/>
          </w:tcPr>
          <w:p>
            <w:pPr>
              <w:jc w:val="center"/>
              <w:rPr>
                <w:color w:val="000000"/>
                <w:sz w:val="18"/>
                <w:szCs w:val="18"/>
              </w:rPr>
            </w:pPr>
            <w:r>
              <w:rPr>
                <w:color w:val="000000"/>
                <w:sz w:val="18"/>
                <w:szCs w:val="18"/>
              </w:rPr>
              <w:t>0</w:t>
            </w:r>
          </w:p>
        </w:tc>
        <w:tc>
          <w:tcPr>
            <w:tcW w:w="690" w:type="dxa"/>
            <w:noWrap w:val="0"/>
            <w:vAlign w:val="center"/>
          </w:tcPr>
          <w:p>
            <w:pPr>
              <w:jc w:val="center"/>
              <w:rPr>
                <w:color w:val="000000"/>
                <w:szCs w:val="21"/>
              </w:rPr>
            </w:pPr>
            <w:r>
              <w:rPr>
                <w:color w:val="000000"/>
                <w:szCs w:val="21"/>
              </w:rPr>
              <w:t>0</w:t>
            </w:r>
          </w:p>
        </w:tc>
        <w:tc>
          <w:tcPr>
            <w:tcW w:w="476" w:type="dxa"/>
            <w:noWrap w:val="0"/>
            <w:vAlign w:val="center"/>
          </w:tcPr>
          <w:p>
            <w:pPr>
              <w:jc w:val="center"/>
              <w:rPr>
                <w:color w:val="000000"/>
                <w:szCs w:val="21"/>
              </w:rPr>
            </w:pPr>
            <w:r>
              <w:rPr>
                <w:color w:val="000000"/>
                <w:szCs w:val="21"/>
              </w:rPr>
              <w:t>1</w:t>
            </w:r>
          </w:p>
        </w:tc>
        <w:tc>
          <w:tcPr>
            <w:tcW w:w="646"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646" w:type="dxa"/>
            <w:noWrap w:val="0"/>
            <w:vAlign w:val="center"/>
          </w:tcPr>
          <w:p>
            <w:pPr>
              <w:jc w:val="center"/>
              <w:rPr>
                <w:color w:val="000000"/>
                <w:szCs w:val="21"/>
              </w:rPr>
            </w:pPr>
            <w:r>
              <w:rPr>
                <w:color w:val="000000"/>
                <w:szCs w:val="21"/>
              </w:rPr>
              <w:t>0</w:t>
            </w:r>
          </w:p>
        </w:tc>
        <w:tc>
          <w:tcPr>
            <w:tcW w:w="646"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646" w:type="dxa"/>
            <w:noWrap w:val="0"/>
            <w:vAlign w:val="center"/>
          </w:tcPr>
          <w:p>
            <w:pPr>
              <w:jc w:val="center"/>
              <w:rPr>
                <w:rFonts w:hint="eastAsia" w:eastAsia="宋体"/>
                <w:color w:val="000000"/>
                <w:szCs w:val="21"/>
                <w:lang w:eastAsia="zh-CN"/>
              </w:rPr>
            </w:pPr>
            <w:r>
              <w:rPr>
                <w:rFonts w:hint="default" w:eastAsia="宋体"/>
                <w:color w:val="000000"/>
                <w:szCs w:val="21"/>
                <w:lang w:eastAsia="zh-CN"/>
              </w:rPr>
              <w:t>1</w:t>
            </w:r>
          </w:p>
        </w:tc>
        <w:tc>
          <w:tcPr>
            <w:tcW w:w="520" w:type="dxa"/>
            <w:noWrap w:val="0"/>
            <w:vAlign w:val="center"/>
          </w:tcPr>
          <w:p>
            <w:pPr>
              <w:jc w:val="center"/>
              <w:rPr>
                <w:color w:val="000000"/>
                <w:szCs w:val="21"/>
              </w:rPr>
            </w:pPr>
            <w:r>
              <w:rPr>
                <w:color w:val="000000"/>
                <w:szCs w:val="21"/>
              </w:rPr>
              <w:t>1</w:t>
            </w:r>
          </w:p>
        </w:tc>
        <w:tc>
          <w:tcPr>
            <w:tcW w:w="776"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688"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661"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676"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c>
          <w:tcPr>
            <w:tcW w:w="370" w:type="dxa"/>
            <w:noWrap w:val="0"/>
            <w:vAlign w:val="center"/>
          </w:tcPr>
          <w:p>
            <w:pPr>
              <w:jc w:val="center"/>
              <w:rPr>
                <w:rFonts w:hint="eastAsia" w:eastAsia="宋体"/>
                <w:color w:val="000000"/>
                <w:szCs w:val="21"/>
                <w:lang w:val="en-US" w:eastAsia="zh-CN"/>
              </w:rPr>
            </w:pPr>
            <w:r>
              <w:rPr>
                <w:rFonts w:hint="eastAsia"/>
                <w:color w:val="000000"/>
                <w:szCs w:val="21"/>
                <w:lang w:val="en-US" w:eastAsia="zh-CN"/>
              </w:rPr>
              <w:t>0</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line="600" w:lineRule="exact"/>
        <w:ind w:firstLine="640" w:firstLineChars="200"/>
        <w:textAlignment w:val="auto"/>
        <w:rPr>
          <w:rFonts w:hint="eastAsia" w:ascii="黑体" w:hAnsi="黑体" w:eastAsia="黑体"/>
          <w:b w:val="0"/>
          <w:bCs/>
          <w:color w:val="000000"/>
          <w:sz w:val="32"/>
          <w:szCs w:val="32"/>
        </w:rPr>
      </w:pPr>
      <w:r>
        <w:rPr>
          <w:rFonts w:hint="eastAsia" w:ascii="黑体" w:hAnsi="黑体" w:eastAsia="黑体"/>
          <w:b w:val="0"/>
          <w:bCs/>
          <w:color w:val="000000"/>
          <w:sz w:val="32"/>
          <w:szCs w:val="32"/>
        </w:rPr>
        <w:t>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640" w:firstLineChars="200"/>
        <w:jc w:val="left"/>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2020年，我局信息公开工作虽然取得了一定进展，但仍然存在一些问题和不足：</w:t>
      </w:r>
      <w:r>
        <w:rPr>
          <w:rStyle w:val="4"/>
          <w:rFonts w:hint="eastAsia" w:ascii="仿宋_GB2312" w:hAnsi="仿宋_GB2312" w:eastAsia="仿宋_GB2312" w:cs="仿宋_GB2312"/>
          <w:i w:val="0"/>
          <w:caps w:val="0"/>
          <w:color w:val="auto"/>
          <w:spacing w:val="0"/>
          <w:sz w:val="32"/>
          <w:szCs w:val="32"/>
          <w:shd w:val="clear" w:fill="FFFFFF"/>
        </w:rPr>
        <w:t>一是</w:t>
      </w:r>
      <w:r>
        <w:rPr>
          <w:rFonts w:hint="eastAsia" w:ascii="仿宋_GB2312" w:hAnsi="仿宋_GB2312" w:eastAsia="仿宋_GB2312" w:cs="仿宋_GB2312"/>
          <w:i w:val="0"/>
          <w:caps w:val="0"/>
          <w:color w:val="auto"/>
          <w:spacing w:val="0"/>
          <w:sz w:val="32"/>
          <w:szCs w:val="32"/>
          <w:shd w:val="clear" w:fill="FFFFFF"/>
        </w:rPr>
        <w:t>政务公开的信息供给与市民群众的新期待新需求在一定程度上还不相匹配。</w:t>
      </w:r>
      <w:r>
        <w:rPr>
          <w:rStyle w:val="4"/>
          <w:rFonts w:hint="eastAsia" w:ascii="仿宋_GB2312" w:hAnsi="仿宋_GB2312" w:eastAsia="仿宋_GB2312" w:cs="仿宋_GB2312"/>
          <w:i w:val="0"/>
          <w:caps w:val="0"/>
          <w:color w:val="auto"/>
          <w:spacing w:val="0"/>
          <w:sz w:val="32"/>
          <w:szCs w:val="32"/>
          <w:shd w:val="clear" w:fill="FFFFFF"/>
        </w:rPr>
        <w:t>二是</w:t>
      </w:r>
      <w:r>
        <w:rPr>
          <w:rFonts w:hint="eastAsia" w:ascii="仿宋_GB2312" w:hAnsi="仿宋_GB2312" w:eastAsia="仿宋_GB2312" w:cs="仿宋_GB2312"/>
          <w:i w:val="0"/>
          <w:caps w:val="0"/>
          <w:color w:val="auto"/>
          <w:spacing w:val="0"/>
          <w:sz w:val="32"/>
          <w:szCs w:val="32"/>
          <w:shd w:val="clear" w:fill="FFFFFF"/>
        </w:rPr>
        <w:t>全方位解读、回应、互动的格局还没有完全形成，</w:t>
      </w:r>
      <w:r>
        <w:rPr>
          <w:rFonts w:hint="eastAsia" w:ascii="仿宋_GB2312" w:hAnsi="仿宋_GB2312" w:eastAsia="仿宋_GB2312" w:cs="仿宋_GB2312"/>
          <w:i w:val="0"/>
          <w:caps w:val="0"/>
          <w:color w:val="auto"/>
          <w:spacing w:val="0"/>
          <w:sz w:val="32"/>
          <w:szCs w:val="32"/>
          <w:shd w:val="clear" w:fill="FFFFFF"/>
          <w:lang w:val="en-US" w:eastAsia="zh-Hans"/>
        </w:rPr>
        <w:t>政府信息公开率较低，</w:t>
      </w:r>
      <w:r>
        <w:rPr>
          <w:rFonts w:hint="eastAsia" w:ascii="仿宋_GB2312" w:hAnsi="仿宋_GB2312" w:eastAsia="仿宋_GB2312" w:cs="仿宋_GB2312"/>
          <w:i w:val="0"/>
          <w:caps w:val="0"/>
          <w:color w:val="auto"/>
          <w:spacing w:val="0"/>
          <w:sz w:val="32"/>
          <w:szCs w:val="32"/>
          <w:shd w:val="clear" w:fill="FFFFFF"/>
        </w:rPr>
        <w:t>政务公开标准化规范化建设有待加强。</w:t>
      </w:r>
      <w:r>
        <w:rPr>
          <w:rFonts w:hint="eastAsia" w:ascii="仿宋_GB2312" w:hAnsi="仿宋_GB2312" w:eastAsia="仿宋_GB2312" w:cs="仿宋_GB2312"/>
          <w:b/>
          <w:bCs/>
          <w:i w:val="0"/>
          <w:caps w:val="0"/>
          <w:color w:val="auto"/>
          <w:spacing w:val="0"/>
          <w:sz w:val="32"/>
          <w:szCs w:val="32"/>
          <w:shd w:val="clear" w:fill="FFFFFF"/>
          <w:lang w:val="en-US" w:eastAsia="zh-Hans"/>
        </w:rPr>
        <w:t>三是</w:t>
      </w:r>
      <w:r>
        <w:rPr>
          <w:rFonts w:hint="eastAsia" w:ascii="仿宋_GB2312" w:hAnsi="仿宋_GB2312" w:eastAsia="仿宋_GB2312" w:cs="仿宋_GB2312"/>
          <w:i w:val="0"/>
          <w:caps w:val="0"/>
          <w:color w:val="auto"/>
          <w:spacing w:val="0"/>
          <w:sz w:val="32"/>
          <w:szCs w:val="32"/>
          <w:shd w:val="clear" w:fill="FFFFFF"/>
        </w:rPr>
        <w:t>政务公开队伍专业化水平还需进一步提高。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0"/>
        <w:jc w:val="left"/>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　　2021年，我局将按照国家、省、市的要求，继续积极推进政府信息公开工作，主要做好以下几个方面：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0"/>
        <w:jc w:val="left"/>
        <w:rPr>
          <w:rFonts w:hint="eastAsia" w:ascii="仿宋_GB2312" w:hAnsi="仿宋_GB2312" w:eastAsia="仿宋_GB2312" w:cs="仿宋_GB2312"/>
          <w:i w:val="0"/>
          <w:caps w:val="0"/>
          <w:color w:val="auto"/>
          <w:spacing w:val="0"/>
          <w:sz w:val="32"/>
          <w:szCs w:val="32"/>
        </w:rPr>
      </w:pPr>
      <w:r>
        <w:rPr>
          <w:rStyle w:val="4"/>
          <w:rFonts w:hint="eastAsia" w:ascii="仿宋_GB2312" w:hAnsi="仿宋_GB2312" w:eastAsia="仿宋_GB2312" w:cs="仿宋_GB2312"/>
          <w:i w:val="0"/>
          <w:caps w:val="0"/>
          <w:color w:val="auto"/>
          <w:spacing w:val="0"/>
          <w:sz w:val="32"/>
          <w:szCs w:val="32"/>
          <w:shd w:val="clear" w:fill="FFFFFF"/>
        </w:rPr>
        <w:t>　　一是完善政务公开制度体系。</w:t>
      </w:r>
      <w:r>
        <w:rPr>
          <w:rFonts w:hint="eastAsia" w:ascii="仿宋_GB2312" w:hAnsi="仿宋_GB2312" w:eastAsia="仿宋_GB2312" w:cs="仿宋_GB2312"/>
          <w:i w:val="0"/>
          <w:caps w:val="0"/>
          <w:color w:val="auto"/>
          <w:spacing w:val="0"/>
          <w:sz w:val="32"/>
          <w:szCs w:val="32"/>
          <w:shd w:val="clear" w:fill="FFFFFF"/>
        </w:rPr>
        <w:t>坚持以公开为常态、不公开为例外，加强政务信息管理，进一步完善政务公开的组织协调、保密审查、主动公开、依申请公开、政策解读、回应关切、政民互动、公众参与、平台建设等制度规范和工作流程体系。加大对社会各界关注度高、涉及群众切身利益、自然资源工作热点和亮点、创新与重大决定等信息的公开力度，切实丰富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0"/>
        <w:jc w:val="left"/>
        <w:rPr>
          <w:rFonts w:hint="eastAsia" w:ascii="仿宋_GB2312" w:hAnsi="仿宋_GB2312" w:eastAsia="仿宋_GB2312" w:cs="仿宋_GB2312"/>
          <w:i w:val="0"/>
          <w:caps w:val="0"/>
          <w:color w:val="auto"/>
          <w:spacing w:val="0"/>
          <w:sz w:val="32"/>
          <w:szCs w:val="32"/>
        </w:rPr>
      </w:pPr>
      <w:r>
        <w:rPr>
          <w:rStyle w:val="4"/>
          <w:rFonts w:hint="eastAsia" w:ascii="仿宋_GB2312" w:hAnsi="仿宋_GB2312" w:eastAsia="仿宋_GB2312" w:cs="仿宋_GB2312"/>
          <w:i w:val="0"/>
          <w:caps w:val="0"/>
          <w:color w:val="auto"/>
          <w:spacing w:val="0"/>
          <w:sz w:val="32"/>
          <w:szCs w:val="32"/>
          <w:shd w:val="clear" w:fill="FFFFFF"/>
        </w:rPr>
        <w:t>　　二是加强政务公开标准化建设。</w:t>
      </w:r>
      <w:r>
        <w:rPr>
          <w:rFonts w:hint="eastAsia" w:ascii="仿宋_GB2312" w:hAnsi="仿宋_GB2312" w:eastAsia="仿宋_GB2312" w:cs="仿宋_GB2312"/>
          <w:i w:val="0"/>
          <w:caps w:val="0"/>
          <w:color w:val="auto"/>
          <w:spacing w:val="0"/>
          <w:sz w:val="32"/>
          <w:szCs w:val="32"/>
          <w:shd w:val="clear" w:fill="FFFFFF"/>
        </w:rPr>
        <w:t>对照城乡规划及农村集体土地征收领域基层政务公开标准目录，结合我局职能，将政务公开工作规则固化到现有业务流程中，做到政务公开操作与其他业务工作紧密结合、同步运作，通过线上线下全面准确公开目录事项，保障群众知情权、参与权及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0"/>
        <w:jc w:val="left"/>
        <w:rPr>
          <w:rFonts w:hint="eastAsia" w:ascii="仿宋_GB2312" w:hAnsi="仿宋_GB2312" w:eastAsia="仿宋_GB2312" w:cs="仿宋_GB2312"/>
          <w:i w:val="0"/>
          <w:caps w:val="0"/>
          <w:color w:val="auto"/>
          <w:spacing w:val="0"/>
          <w:sz w:val="32"/>
          <w:szCs w:val="32"/>
        </w:rPr>
      </w:pPr>
      <w:r>
        <w:rPr>
          <w:rStyle w:val="4"/>
          <w:rFonts w:hint="eastAsia" w:ascii="仿宋_GB2312" w:hAnsi="仿宋_GB2312" w:eastAsia="仿宋_GB2312" w:cs="仿宋_GB2312"/>
          <w:i w:val="0"/>
          <w:caps w:val="0"/>
          <w:color w:val="auto"/>
          <w:spacing w:val="0"/>
          <w:sz w:val="32"/>
          <w:szCs w:val="32"/>
          <w:shd w:val="clear" w:fill="FFFFFF"/>
        </w:rPr>
        <w:t>　　三是提升依申请公开工作质量和效率。</w:t>
      </w:r>
      <w:r>
        <w:rPr>
          <w:rFonts w:hint="eastAsia" w:ascii="仿宋_GB2312" w:hAnsi="仿宋_GB2312" w:eastAsia="仿宋_GB2312" w:cs="仿宋_GB2312"/>
          <w:i w:val="0"/>
          <w:caps w:val="0"/>
          <w:color w:val="auto"/>
          <w:spacing w:val="0"/>
          <w:sz w:val="32"/>
          <w:szCs w:val="32"/>
          <w:shd w:val="clear" w:fill="FFFFFF"/>
        </w:rPr>
        <w:t>严格执行《中华人民共和国政府信息公开条例》关于答复期限、答复类型、答复方式等各项规定，做到程序合法、处置合理、答复规范、措辞得当，最大限度为申请人提供相关政府信息，切实保障申请人权利，维护政府公信力。加强与申请人的沟通，指引申请人合理并按照程序申请信息公开，引导申请人依法依规行使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720" w:lineRule="atLeast"/>
        <w:ind w:left="0" w:right="0" w:firstLine="0"/>
        <w:jc w:val="left"/>
        <w:rPr>
          <w:rFonts w:hint="eastAsia" w:ascii="仿宋_GB2312" w:hAnsi="仿宋_GB2312" w:eastAsia="仿宋_GB2312" w:cs="仿宋_GB2312"/>
          <w:i w:val="0"/>
          <w:caps w:val="0"/>
          <w:color w:val="auto"/>
          <w:spacing w:val="0"/>
          <w:sz w:val="32"/>
          <w:szCs w:val="32"/>
        </w:rPr>
      </w:pPr>
      <w:r>
        <w:rPr>
          <w:rStyle w:val="4"/>
          <w:rFonts w:hint="eastAsia" w:ascii="仿宋_GB2312" w:hAnsi="仿宋_GB2312" w:eastAsia="仿宋_GB2312" w:cs="仿宋_GB2312"/>
          <w:i w:val="0"/>
          <w:caps w:val="0"/>
          <w:color w:val="auto"/>
          <w:spacing w:val="0"/>
          <w:sz w:val="32"/>
          <w:szCs w:val="32"/>
          <w:shd w:val="clear" w:fill="FFFFFF"/>
        </w:rPr>
        <w:t>　　四是加强政务信息公开队伍建设。</w:t>
      </w:r>
      <w:r>
        <w:rPr>
          <w:rFonts w:hint="eastAsia" w:ascii="仿宋_GB2312" w:hAnsi="仿宋_GB2312" w:eastAsia="仿宋_GB2312" w:cs="仿宋_GB2312"/>
          <w:i w:val="0"/>
          <w:caps w:val="0"/>
          <w:color w:val="auto"/>
          <w:spacing w:val="0"/>
          <w:sz w:val="32"/>
          <w:szCs w:val="32"/>
          <w:shd w:val="clear" w:fill="FFFFFF"/>
        </w:rPr>
        <w:t>加强与其他单位的交流，主动学习其他单位的先进经验做法，不断提高政务信息公开工作人员的业务水平和综合素质。制定培训计划，对我局内部工作人员开展政务公开知识培训，提升整体办理信息公开的素质能力，增强工作自觉性。</w:t>
      </w:r>
    </w:p>
    <w:p>
      <w:pPr>
        <w:numPr>
          <w:ilvl w:val="0"/>
          <w:numId w:val="3"/>
        </w:numPr>
        <w:ind w:firstLine="640" w:firstLineChars="200"/>
        <w:jc w:val="both"/>
        <w:rPr>
          <w:rFonts w:hint="eastAsia" w:ascii="黑体" w:hAnsi="黑体" w:eastAsia="黑体" w:cs="黑体"/>
          <w:color w:val="auto"/>
          <w:sz w:val="32"/>
          <w:szCs w:val="32"/>
          <w:lang w:val="en-US" w:eastAsia="zh-Hans"/>
        </w:rPr>
      </w:pPr>
      <w:r>
        <w:rPr>
          <w:rFonts w:hint="eastAsia" w:ascii="黑体" w:hAnsi="黑体" w:eastAsia="黑体" w:cs="黑体"/>
          <w:color w:val="auto"/>
          <w:sz w:val="32"/>
          <w:szCs w:val="32"/>
          <w:lang w:val="en-US" w:eastAsia="zh-Hans"/>
        </w:rPr>
        <w:t>其他需要报告的事项</w:t>
      </w:r>
    </w:p>
    <w:p>
      <w:pPr>
        <w:numPr>
          <w:ilvl w:val="0"/>
          <w:numId w:val="0"/>
        </w:numPr>
        <w:jc w:val="both"/>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eastAsia="zh-Hans"/>
        </w:rPr>
        <w:t xml:space="preserve">    </w:t>
      </w:r>
      <w:r>
        <w:rPr>
          <w:rFonts w:hint="eastAsia" w:ascii="仿宋_GB2312" w:hAnsi="仿宋_GB2312" w:eastAsia="仿宋_GB2312" w:cs="仿宋_GB2312"/>
          <w:color w:val="auto"/>
          <w:sz w:val="32"/>
          <w:szCs w:val="32"/>
          <w:lang w:val="en-US" w:eastAsia="zh-Hans"/>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方正小标宋简体">
    <w:altName w:val="方正小标宋_GBK"/>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Heiti SC Light">
    <w:panose1 w:val="02000000000000000000"/>
    <w:charset w:val="86"/>
    <w:family w:val="auto"/>
    <w:pitch w:val="default"/>
    <w:sig w:usb0="8000002F" w:usb1="0800004A" w:usb2="00000000" w:usb3="00000000" w:csb0="203E0000" w:csb1="00000000"/>
  </w:font>
  <w:font w:name="仿宋">
    <w:panose1 w:val="02010609060101010101"/>
    <w:charset w:val="86"/>
    <w:family w:val="auto"/>
    <w:pitch w:val="default"/>
    <w:sig w:usb0="800002BF" w:usb1="38CF7CFA" w:usb2="00000016" w:usb3="00000000" w:csb0="00040001" w:csb1="00000000"/>
  </w:font>
  <w:font w:name="Hiragino Sans GB W3">
    <w:panose1 w:val="020B0300000000000000"/>
    <w:charset w:val="86"/>
    <w:family w:val="auto"/>
    <w:pitch w:val="default"/>
    <w:sig w:usb0="A00002BF" w:usb1="1ACF7CFA" w:usb2="00000016" w:usb3="00000000" w:csb0="00060007" w:csb1="00000000"/>
  </w:font>
  <w:font w:name="华文宋体">
    <w:panose1 w:val="02010600040101010101"/>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 w:name="宋体_GB2312">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Calibri Light">
    <w:panose1 w:val="020F0702030404030204"/>
    <w:charset w:val="00"/>
    <w:family w:val="swiss"/>
    <w:pitch w:val="default"/>
    <w:sig w:usb0="E10002FF" w:usb1="4000ACFF" w:usb2="00000009" w:usb3="00000000" w:csb0="2000019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65F4"/>
    <w:multiLevelType w:val="singleLevel"/>
    <w:tmpl w:val="5FFD65F4"/>
    <w:lvl w:ilvl="0" w:tentative="0">
      <w:start w:val="1"/>
      <w:numFmt w:val="chineseCounting"/>
      <w:suff w:val="nothing"/>
      <w:lvlText w:val="%1、"/>
      <w:lvlJc w:val="left"/>
    </w:lvl>
  </w:abstractNum>
  <w:abstractNum w:abstractNumId="1">
    <w:nsid w:val="5FFD6C8C"/>
    <w:multiLevelType w:val="singleLevel"/>
    <w:tmpl w:val="5FFD6C8C"/>
    <w:lvl w:ilvl="0" w:tentative="0">
      <w:start w:val="1"/>
      <w:numFmt w:val="chineseCounting"/>
      <w:suff w:val="nothing"/>
      <w:lvlText w:val="（%1）"/>
      <w:lvlJc w:val="left"/>
    </w:lvl>
  </w:abstractNum>
  <w:abstractNum w:abstractNumId="2">
    <w:nsid w:val="601118A9"/>
    <w:multiLevelType w:val="singleLevel"/>
    <w:tmpl w:val="601118A9"/>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50D96"/>
    <w:rsid w:val="35BFA548"/>
    <w:rsid w:val="3FCB5430"/>
    <w:rsid w:val="3FE50D96"/>
    <w:rsid w:val="4D357EB6"/>
    <w:rsid w:val="5DD48936"/>
    <w:rsid w:val="77DD7768"/>
    <w:rsid w:val="7DB544E4"/>
    <w:rsid w:val="7F3FC8F4"/>
    <w:rsid w:val="BC7B7B4F"/>
    <w:rsid w:val="BFC3E811"/>
    <w:rsid w:val="C3FF42A6"/>
    <w:rsid w:val="DFFF5C44"/>
    <w:rsid w:val="EFEDB7AD"/>
    <w:rsid w:val="EFFF81BE"/>
    <w:rsid w:val="F13E192B"/>
    <w:rsid w:val="F5FBBFD3"/>
    <w:rsid w:val="F7F2DBB3"/>
    <w:rsid w:val="FA752576"/>
    <w:rsid w:val="FF97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2021-01-13T23:48:00Z</dcterms:created>
  <dc:creator>mac</dc:creator>
  <cp:lastModifiedBy>mac</cp:lastModifiedBy>
  <dcterms:modified xsi:type="dcterms:W3CDTF">2021-02-09T14:22:38Z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